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99FE" w14:textId="77777777" w:rsidR="001B6C85" w:rsidRPr="007563E7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b/>
          <w:bCs/>
          <w:sz w:val="24"/>
          <w:szCs w:val="24"/>
        </w:rPr>
      </w:pP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AREA PLANS</w:t>
      </w:r>
    </w:p>
    <w:p w14:paraId="78B3AAB3" w14:textId="0E1DBDF6" w:rsidR="001B6C85" w:rsidRPr="007563E7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>SEC. 306. (a) Each area agency on aging designated under section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305(a)(2)(A) shall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. . . </w:t>
      </w:r>
      <w:r w:rsidRPr="007563E7">
        <w:rPr>
          <w:rFonts w:ascii="NewCenturySchlbk-Roman" w:hAnsi="NewCenturySchlbk-Roman" w:cs="NewCenturySchlbk-Roman"/>
          <w:sz w:val="24"/>
          <w:szCs w:val="24"/>
        </w:rPr>
        <w:t>prepare and develop an area plan for a planning and service area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for a three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year period,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with such annual adjustments as may be necessary. </w:t>
      </w:r>
    </w:p>
    <w:p w14:paraId="5A18F308" w14:textId="77777777" w:rsidR="007563E7" w:rsidRPr="007563E7" w:rsidRDefault="007563E7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14:paraId="21F2D665" w14:textId="4DF20E3C" w:rsidR="001B6C85" w:rsidRPr="007563E7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>Each such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plan shall—</w:t>
      </w:r>
    </w:p>
    <w:p w14:paraId="2ADD0902" w14:textId="7CAF6AAA" w:rsidR="007563E7" w:rsidRPr="007563E7" w:rsidRDefault="001B6C85" w:rsidP="007563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>provide, through a comprehensive and coordinated system,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for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supportive services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,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nutrition services</w:t>
      </w:r>
      <w:r w:rsidRPr="007563E7">
        <w:rPr>
          <w:rFonts w:ascii="NewCenturySchlbk-Roman" w:hAnsi="NewCenturySchlbk-Roman" w:cs="NewCenturySchlbk-Roman"/>
          <w:sz w:val="24"/>
          <w:szCs w:val="24"/>
        </w:rPr>
        <w:t>, and, where appropriate,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for the establishment, maintenance, modernization,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or construction of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multipurpose senior centers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(including a plan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to use the skills and services of older individuals in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paid and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unpaid work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, including </w:t>
      </w:r>
      <w:r w:rsidR="007563E7"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m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ultigenerational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and older individual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to older individual work), within the planning and service area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covered by the plan, including determining the extent of need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for supportive services, nutrition services, and multipurpose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senior centers in such area </w:t>
      </w:r>
    </w:p>
    <w:p w14:paraId="1CCEBA24" w14:textId="77777777" w:rsidR="007563E7" w:rsidRDefault="001B6C85" w:rsidP="007563E7">
      <w:pPr>
        <w:pStyle w:val="ListParagraph"/>
        <w:autoSpaceDE w:val="0"/>
        <w:autoSpaceDN w:val="0"/>
        <w:adjustRightInd w:val="0"/>
        <w:spacing w:after="0" w:line="240" w:lineRule="auto"/>
        <w:ind w:left="732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>(taking into consideration, among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other things, </w:t>
      </w:r>
    </w:p>
    <w:p w14:paraId="28C0A364" w14:textId="77777777" w:rsidR="007563E7" w:rsidRDefault="001B6C85" w:rsidP="007563E7">
      <w:pPr>
        <w:pStyle w:val="ListParagraph"/>
        <w:autoSpaceDE w:val="0"/>
        <w:autoSpaceDN w:val="0"/>
        <w:adjustRightInd w:val="0"/>
        <w:spacing w:after="0" w:line="240" w:lineRule="auto"/>
        <w:ind w:left="732" w:firstLine="708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the number of older individuals with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low incomes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residing in such area, </w:t>
      </w:r>
    </w:p>
    <w:p w14:paraId="6823D7F7" w14:textId="77777777" w:rsidR="007563E7" w:rsidRDefault="001B6C85" w:rsidP="007563E7">
      <w:pPr>
        <w:pStyle w:val="ListParagraph"/>
        <w:autoSpaceDE w:val="0"/>
        <w:autoSpaceDN w:val="0"/>
        <w:adjustRightInd w:val="0"/>
        <w:spacing w:after="0" w:line="240" w:lineRule="auto"/>
        <w:ind w:left="732" w:firstLine="708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>the number of older individuals who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have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greatest economic need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(with particular attention to low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income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older individuals, including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 xml:space="preserve">low-income minority </w:t>
      </w:r>
      <w:r w:rsidRPr="007563E7">
        <w:rPr>
          <w:rFonts w:ascii="NewCenturySchlbk-Roman" w:hAnsi="NewCenturySchlbk-Roman" w:cs="NewCenturySchlbk-Roman"/>
          <w:sz w:val="24"/>
          <w:szCs w:val="24"/>
        </w:rPr>
        <w:t>older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individuals, older individuals with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limited English proficiency</w:t>
      </w:r>
      <w:r w:rsidRPr="007563E7">
        <w:rPr>
          <w:rFonts w:ascii="NewCenturySchlbk-Roman" w:hAnsi="NewCenturySchlbk-Roman" w:cs="NewCenturySchlbk-Roman"/>
          <w:sz w:val="24"/>
          <w:szCs w:val="24"/>
        </w:rPr>
        <w:t>,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and older individuals residing in rural areas) residing in such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area, </w:t>
      </w:r>
    </w:p>
    <w:p w14:paraId="0B8A1584" w14:textId="77777777" w:rsidR="007563E7" w:rsidRDefault="001B6C85" w:rsidP="007563E7">
      <w:pPr>
        <w:pStyle w:val="ListParagraph"/>
        <w:autoSpaceDE w:val="0"/>
        <w:autoSpaceDN w:val="0"/>
        <w:adjustRightInd w:val="0"/>
        <w:spacing w:after="0" w:line="240" w:lineRule="auto"/>
        <w:ind w:left="732" w:firstLine="708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the number of older individuals who have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greatest social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 xml:space="preserve">need </w:t>
      </w:r>
      <w:r w:rsidRPr="007563E7">
        <w:rPr>
          <w:rFonts w:ascii="NewCenturySchlbk-Roman" w:hAnsi="NewCenturySchlbk-Roman" w:cs="NewCenturySchlbk-Roman"/>
          <w:sz w:val="24"/>
          <w:szCs w:val="24"/>
        </w:rPr>
        <w:t>(with particular attention to low-income older individuals,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including low-income minority older individuals, older individuals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with limited English proficiency, and older individuals residing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in rural areas) residing in such area,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</w:p>
    <w:p w14:paraId="747C151A" w14:textId="77777777" w:rsidR="007563E7" w:rsidRDefault="001B6C85" w:rsidP="007563E7">
      <w:pPr>
        <w:pStyle w:val="ListParagraph"/>
        <w:autoSpaceDE w:val="0"/>
        <w:autoSpaceDN w:val="0"/>
        <w:adjustRightInd w:val="0"/>
        <w:spacing w:after="0" w:line="240" w:lineRule="auto"/>
        <w:ind w:left="732" w:firstLine="708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>the number of older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individuals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at risk for institutional placement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residing in such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area, and </w:t>
      </w:r>
    </w:p>
    <w:p w14:paraId="2F84B0D9" w14:textId="77777777" w:rsidR="007563E7" w:rsidRDefault="001B6C85" w:rsidP="007563E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the number of older individuals who are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Indians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residing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in such area, and the efforts of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voluntary organizations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in the 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>c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ommunity), </w:t>
      </w:r>
    </w:p>
    <w:p w14:paraId="713B7092" w14:textId="57428F6A" w:rsidR="003406B5" w:rsidRPr="007563E7" w:rsidRDefault="001B6C85" w:rsidP="007563E7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>evaluating the effectiveness of the use of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resources in meeting such need, and entering into agreements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with providers of supportive services, nutrition services, or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multipurpose senior centers in such area, for the provision of</w:t>
      </w:r>
      <w:r w:rsidR="007563E7"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such services or centers to meet such need;</w:t>
      </w:r>
    </w:p>
    <w:p w14:paraId="720020CE" w14:textId="68A3175A" w:rsidR="001B6C85" w:rsidRPr="007563E7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>(2) provide assurances that an adequate proportion, of the amount allotted for part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B to the planning and service area will be expended for the delivery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of each of the following categories of services—</w:t>
      </w:r>
    </w:p>
    <w:p w14:paraId="2A33A14A" w14:textId="19A0B26C" w:rsidR="001B6C85" w:rsidRPr="007563E7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>(A) services associated with access to services (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transportation,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health services (including mental and behavioral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health services), outreach, information and assistance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(which may include information and assistance to consumers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on availability of services under part B and how to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receive benefits under and participate in publicly supported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programs for which the consumer may be eligible),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and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case management services</w:t>
      </w:r>
      <w:r w:rsidRPr="007563E7">
        <w:rPr>
          <w:rFonts w:ascii="NewCenturySchlbk-Roman" w:hAnsi="NewCenturySchlbk-Roman" w:cs="NewCenturySchlbk-Roman"/>
          <w:sz w:val="24"/>
          <w:szCs w:val="24"/>
        </w:rPr>
        <w:t>);</w:t>
      </w:r>
    </w:p>
    <w:p w14:paraId="54C8D655" w14:textId="6C9AE717" w:rsidR="001B6C85" w:rsidRPr="007563E7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(B)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in-home services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, including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supportive services for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families of older individuals with Alzheimer’s disease and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>related disorders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with neurological and organic brain dysfunction;</w:t>
      </w:r>
      <w:r w:rsidRPr="007563E7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7563E7">
        <w:rPr>
          <w:rFonts w:ascii="NewCenturySchlbk-Roman" w:hAnsi="NewCenturySchlbk-Roman" w:cs="NewCenturySchlbk-Roman"/>
          <w:sz w:val="24"/>
          <w:szCs w:val="24"/>
        </w:rPr>
        <w:t>and</w:t>
      </w:r>
    </w:p>
    <w:p w14:paraId="1F3A57B4" w14:textId="37D35CF6" w:rsidR="001B6C85" w:rsidRPr="007563E7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4"/>
          <w:szCs w:val="24"/>
        </w:rPr>
      </w:pPr>
      <w:r w:rsidRPr="007563E7">
        <w:rPr>
          <w:rFonts w:ascii="NewCenturySchlbk-Roman" w:hAnsi="NewCenturySchlbk-Roman" w:cs="NewCenturySchlbk-Roman"/>
          <w:sz w:val="24"/>
          <w:szCs w:val="24"/>
        </w:rPr>
        <w:t>(C)</w:t>
      </w:r>
      <w:r w:rsidRPr="007563E7">
        <w:rPr>
          <w:rFonts w:ascii="NewCenturySchlbk-Roman" w:hAnsi="NewCenturySchlbk-Roman" w:cs="NewCenturySchlbk-Roman"/>
          <w:b/>
          <w:bCs/>
          <w:sz w:val="24"/>
          <w:szCs w:val="24"/>
        </w:rPr>
        <w:t xml:space="preserve"> legal assistance</w:t>
      </w:r>
    </w:p>
    <w:p w14:paraId="554B752C" w14:textId="57E22D03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4"/>
          <w:szCs w:val="24"/>
        </w:rPr>
      </w:pP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lastRenderedPageBreak/>
        <w:t>(4)(A)(i)(I) provide assurances that the area agency on</w:t>
      </w:r>
    </w:p>
    <w:p w14:paraId="4ADAEC3B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4"/>
          <w:szCs w:val="24"/>
        </w:rPr>
      </w:pP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>aging will—</w:t>
      </w:r>
    </w:p>
    <w:p w14:paraId="6FF6E3F0" w14:textId="054CF026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4"/>
          <w:szCs w:val="24"/>
        </w:rPr>
      </w:pP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>(aa) set specific objectives, consistent with State policy,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>for providing services to older individuals with greatest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>economic need, older individuals with greatest social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>need, and older individuals at risk for institutional placement;</w:t>
      </w:r>
    </w:p>
    <w:p w14:paraId="2AA13147" w14:textId="053168D9" w:rsid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4"/>
          <w:szCs w:val="24"/>
        </w:rPr>
      </w:pP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>(bb) include specific objectives for providing services to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>low-income minority older individuals, older individuals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>with limited English proficiency, and older individuals residing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color w:val="000000"/>
          <w:sz w:val="24"/>
          <w:szCs w:val="24"/>
        </w:rPr>
        <w:t xml:space="preserve">in rural areas; </w:t>
      </w:r>
      <w:r>
        <w:rPr>
          <w:rFonts w:ascii="NewCenturySchlbk-Roman" w:hAnsi="NewCenturySchlbk-Roman" w:cs="NewCenturySchlbk-Roman"/>
          <w:color w:val="000000"/>
          <w:sz w:val="24"/>
          <w:szCs w:val="24"/>
        </w:rPr>
        <w:t>and . . .</w:t>
      </w:r>
    </w:p>
    <w:p w14:paraId="538FF6DE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14:paraId="506BF009" w14:textId="2C03D8CE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(iii) with respect to the fiscal year preceding the fiscal year</w:t>
      </w:r>
    </w:p>
    <w:p w14:paraId="57E47BD5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for which such plan is prepared—</w:t>
      </w:r>
    </w:p>
    <w:p w14:paraId="19FA89C8" w14:textId="3638EF49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ind w:firstLine="720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(I) identify the number of low-income minority older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individuals in the planning and service area;</w:t>
      </w:r>
    </w:p>
    <w:p w14:paraId="6281FC32" w14:textId="679F5B8E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ind w:firstLine="720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(II) describe the methods used to satisfy the service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needs of such minority older individuals; and</w:t>
      </w:r>
    </w:p>
    <w:p w14:paraId="5D17B2B2" w14:textId="3D6D9014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ind w:firstLine="720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(III) provide information on the extent to which the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area agency on aging met the objectives described in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clause (i);</w:t>
      </w:r>
    </w:p>
    <w:p w14:paraId="3B19AE63" w14:textId="67EB2E0C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(B) provide assurances that the area agency on aging will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use outreach efforts that will—</w:t>
      </w:r>
    </w:p>
    <w:p w14:paraId="401B92C4" w14:textId="293A2496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(i) identify individuals eligible for assistance under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this Act, with special emphasis on—</w:t>
      </w:r>
    </w:p>
    <w:p w14:paraId="7CDA3926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ind w:firstLine="720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(I) older individuals residing in rural areas;</w:t>
      </w:r>
    </w:p>
    <w:p w14:paraId="5D8E87CA" w14:textId="7A749DCB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ind w:firstLine="720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(II) older individuals with greatest economic need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(with particular attention to low-income minority individuals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and older individuals residing in rural areas);</w:t>
      </w:r>
    </w:p>
    <w:p w14:paraId="62E21EAB" w14:textId="54D82B16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ind w:firstLine="720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(III) older individuals with greatest social need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(with particular attention to low-income minority individuals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and older individuals residing in rural areas);</w:t>
      </w:r>
    </w:p>
    <w:p w14:paraId="17BF6E46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ind w:firstLine="720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(IV) older individuals with severe disabilities;</w:t>
      </w:r>
    </w:p>
    <w:p w14:paraId="25F63957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ind w:firstLine="720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(V) older individuals with limited English proficiency;</w:t>
      </w:r>
    </w:p>
    <w:p w14:paraId="4043FD37" w14:textId="42206772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ind w:firstLine="720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(VI) older individuals with Alzheimer’s disease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and related disorders with neurological and organic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brain dysfunction (and the caretakers of such individuals);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and</w:t>
      </w:r>
    </w:p>
    <w:p w14:paraId="66DC1347" w14:textId="72B6AD46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(VII) older individuals at risk for institutional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placement, specifically including survivors of the Holocaust;</w:t>
      </w:r>
    </w:p>
    <w:p w14:paraId="35D5D038" w14:textId="08A88F91" w:rsidR="001E772C" w:rsidRDefault="001E772C"/>
    <w:p w14:paraId="45987515" w14:textId="2C7102A2" w:rsidR="001E772C" w:rsidRDefault="001E772C" w:rsidP="001E772C">
      <w:pPr>
        <w:ind w:left="360"/>
        <w:jc w:val="center"/>
      </w:pPr>
      <w:r>
        <w:t>* * * *</w:t>
      </w:r>
    </w:p>
    <w:p w14:paraId="04CBE92C" w14:textId="0C843663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(b)(1) An area agency on aging may include in the area plan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an assessment of how prepared the area agency on aging and service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providers in the planning and service area are for any anticipated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change in the number of older individuals during the 10-year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period following the fiscal year for which the plan is submitted.</w:t>
      </w:r>
    </w:p>
    <w:p w14:paraId="1DBCF149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(2) Such assessment may include—</w:t>
      </w:r>
    </w:p>
    <w:p w14:paraId="1FC50452" w14:textId="433AF612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(A) the projected change in the number of older individuals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in the planning and service area;</w:t>
      </w:r>
    </w:p>
    <w:p w14:paraId="7350BF3D" w14:textId="6692DFD2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(B) an analysis of how such change may affect such individuals,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including individuals with low incomes, individuals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with greatest economic need, minority older individuals, older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individuals residing in rural areas, and older individuals with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limited English proficiency;</w:t>
      </w:r>
    </w:p>
    <w:p w14:paraId="4DD5210B" w14:textId="20ED9C38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lastRenderedPageBreak/>
        <w:t>(C) an analysis of how the programs, policies, and services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provided by such area agency can be improved, and how resource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levels can be adjusted to meet the needs of the changing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population of older individuals in the planning and service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area; and</w:t>
      </w:r>
    </w:p>
    <w:p w14:paraId="2495CEDC" w14:textId="17D872FB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(D) an analysis of how the change in the number of individuals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age 85 and older in the planning and service area is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expected to affect the need for supportive services.</w:t>
      </w:r>
    </w:p>
    <w:p w14:paraId="5D8FE945" w14:textId="48F95A6E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(3) An area agency on aging, in cooperation with government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officials, State agencies, tribal organizations, or local entities, may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make recommendations to government officials in the planning and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service area and the State, on actions determined by the area agency</w:t>
      </w:r>
      <w:r w:rsidRPr="001B6C85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1B6C85">
        <w:rPr>
          <w:rFonts w:ascii="NewCenturySchlbk-Roman" w:hAnsi="NewCenturySchlbk-Roman" w:cs="NewCenturySchlbk-Roman"/>
          <w:sz w:val="24"/>
          <w:szCs w:val="24"/>
        </w:rPr>
        <w:t>to build the capacity in the planning and service area to meet</w:t>
      </w:r>
    </w:p>
    <w:p w14:paraId="74F4F3A6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the needs of older individuals for—</w:t>
      </w:r>
    </w:p>
    <w:p w14:paraId="7434239C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(A) health and human services;</w:t>
      </w:r>
    </w:p>
    <w:p w14:paraId="0F46FEB4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(B) land use;</w:t>
      </w:r>
    </w:p>
    <w:p w14:paraId="31A5E994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(C) housing;</w:t>
      </w:r>
    </w:p>
    <w:p w14:paraId="44FE905B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(D) transportation;</w:t>
      </w:r>
    </w:p>
    <w:p w14:paraId="74F4D8BC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(E) public safety;</w:t>
      </w:r>
    </w:p>
    <w:p w14:paraId="702B90CA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(F) workforce and economic development;</w:t>
      </w:r>
    </w:p>
    <w:p w14:paraId="525E962F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(G) recreation;</w:t>
      </w:r>
    </w:p>
    <w:p w14:paraId="11B46C35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(H) education;</w:t>
      </w:r>
    </w:p>
    <w:p w14:paraId="51A7ECA4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(I) civic engagement;</w:t>
      </w:r>
    </w:p>
    <w:p w14:paraId="322E430B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(J) emergency preparedness;</w:t>
      </w:r>
    </w:p>
    <w:p w14:paraId="33CED351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(K) protection from elder abuse, neglect, and exploitation;</w:t>
      </w:r>
    </w:p>
    <w:p w14:paraId="208D877F" w14:textId="77777777" w:rsidR="001B6C85" w:rsidRPr="001B6C85" w:rsidRDefault="001B6C85" w:rsidP="001B6C8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(L) assistive technology devices and services; and</w:t>
      </w:r>
    </w:p>
    <w:p w14:paraId="5935AAB6" w14:textId="7093C809" w:rsidR="001B6C85" w:rsidRPr="001B6C85" w:rsidRDefault="001B6C85" w:rsidP="001B6C85">
      <w:pPr>
        <w:rPr>
          <w:sz w:val="24"/>
          <w:szCs w:val="24"/>
        </w:rPr>
      </w:pPr>
      <w:r w:rsidRPr="001B6C85">
        <w:rPr>
          <w:rFonts w:ascii="NewCenturySchlbk-Roman" w:hAnsi="NewCenturySchlbk-Roman" w:cs="NewCenturySchlbk-Roman"/>
          <w:sz w:val="24"/>
          <w:szCs w:val="24"/>
        </w:rPr>
        <w:t>(M) any other service as determined by such agency.</w:t>
      </w:r>
    </w:p>
    <w:sectPr w:rsidR="001B6C85" w:rsidRPr="001B6C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8569" w14:textId="77777777" w:rsidR="007563E7" w:rsidRDefault="007563E7" w:rsidP="007563E7">
      <w:pPr>
        <w:spacing w:after="0" w:line="240" w:lineRule="auto"/>
      </w:pPr>
      <w:r>
        <w:separator/>
      </w:r>
    </w:p>
  </w:endnote>
  <w:endnote w:type="continuationSeparator" w:id="0">
    <w:p w14:paraId="26ED2796" w14:textId="77777777" w:rsidR="007563E7" w:rsidRDefault="007563E7" w:rsidP="0075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3F108" w14:textId="77777777" w:rsidR="007563E7" w:rsidRDefault="007563E7" w:rsidP="007563E7">
      <w:pPr>
        <w:spacing w:after="0" w:line="240" w:lineRule="auto"/>
      </w:pPr>
      <w:r>
        <w:separator/>
      </w:r>
    </w:p>
  </w:footnote>
  <w:footnote w:type="continuationSeparator" w:id="0">
    <w:p w14:paraId="514C3FBE" w14:textId="77777777" w:rsidR="007563E7" w:rsidRDefault="007563E7" w:rsidP="0075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1929" w14:textId="77777777" w:rsidR="007563E7" w:rsidRDefault="007563E7" w:rsidP="007563E7">
    <w:pPr>
      <w:pStyle w:val="Header"/>
      <w:jc w:val="center"/>
      <w:rPr>
        <w:b/>
        <w:bCs/>
        <w:sz w:val="28"/>
        <w:szCs w:val="28"/>
      </w:rPr>
    </w:pPr>
    <w:r w:rsidRPr="00E82750">
      <w:rPr>
        <w:b/>
        <w:bCs/>
        <w:sz w:val="28"/>
        <w:szCs w:val="28"/>
      </w:rPr>
      <w:t>Older Americans Act of 1965 as amended through P.L. 116-131</w:t>
    </w:r>
    <w:r>
      <w:rPr>
        <w:b/>
        <w:bCs/>
        <w:sz w:val="28"/>
        <w:szCs w:val="28"/>
      </w:rPr>
      <w:t xml:space="preserve"> (2020)</w:t>
    </w:r>
  </w:p>
  <w:p w14:paraId="79762351" w14:textId="0DE7B0BF" w:rsidR="007563E7" w:rsidRPr="00E82750" w:rsidRDefault="007563E7" w:rsidP="007563E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Area Plans</w:t>
    </w:r>
    <w:r>
      <w:rPr>
        <w:b/>
        <w:bCs/>
        <w:sz w:val="28"/>
        <w:szCs w:val="28"/>
      </w:rPr>
      <w:t xml:space="preserve"> </w:t>
    </w:r>
  </w:p>
  <w:p w14:paraId="032120D1" w14:textId="77777777" w:rsidR="007563E7" w:rsidRDefault="00756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C89"/>
    <w:multiLevelType w:val="hybridMultilevel"/>
    <w:tmpl w:val="AFB8D9F4"/>
    <w:lvl w:ilvl="0" w:tplc="29DC3D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28DB"/>
    <w:multiLevelType w:val="hybridMultilevel"/>
    <w:tmpl w:val="956CD378"/>
    <w:lvl w:ilvl="0" w:tplc="38C4348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85"/>
    <w:rsid w:val="001B6C85"/>
    <w:rsid w:val="001E772C"/>
    <w:rsid w:val="003406B5"/>
    <w:rsid w:val="007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ADB"/>
  <w15:chartTrackingRefBased/>
  <w15:docId w15:val="{2560036A-E5A8-40FA-823B-B21200F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E7"/>
  </w:style>
  <w:style w:type="paragraph" w:styleId="Footer">
    <w:name w:val="footer"/>
    <w:basedOn w:val="Normal"/>
    <w:link w:val="FooterChar"/>
    <w:uiPriority w:val="99"/>
    <w:unhideWhenUsed/>
    <w:rsid w:val="0075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Idzikowski, Daniel</dc:creator>
  <cp:keywords/>
  <dc:description/>
  <cp:lastModifiedBy>Idzikowski, Daniel</cp:lastModifiedBy>
  <cp:revision>1</cp:revision>
  <dcterms:created xsi:type="dcterms:W3CDTF">2021-06-16T20:31:00Z</dcterms:created>
  <dcterms:modified xsi:type="dcterms:W3CDTF">2021-06-16T20:59:00Z</dcterms:modified>
</cp:coreProperties>
</file>