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12C1" w14:textId="77777777" w:rsidR="00DA0B67" w:rsidRDefault="00DA0B67">
      <w:pPr>
        <w:pStyle w:val="Title"/>
      </w:pPr>
      <w:r>
        <w:t>MILWAUKEE COUNTY BOARD OF SUPERVISORS</w:t>
      </w:r>
    </w:p>
    <w:p w14:paraId="7B996BF9" w14:textId="77777777" w:rsidR="00DA0B67" w:rsidRDefault="00DA0B67">
      <w:pPr>
        <w:jc w:val="center"/>
        <w:rPr>
          <w:b/>
          <w:sz w:val="24"/>
        </w:rPr>
      </w:pPr>
    </w:p>
    <w:p w14:paraId="47D024F2" w14:textId="77777777" w:rsidR="00DA0B67" w:rsidRDefault="00DA0B67">
      <w:pPr>
        <w:jc w:val="center"/>
        <w:rPr>
          <w:b/>
          <w:sz w:val="24"/>
        </w:rPr>
      </w:pPr>
    </w:p>
    <w:p w14:paraId="17262A90" w14:textId="3C01CB88" w:rsidR="003F411F" w:rsidRDefault="00DA0B67">
      <w:pPr>
        <w:rPr>
          <w:b/>
          <w:sz w:val="24"/>
        </w:rPr>
      </w:pPr>
      <w:r>
        <w:rPr>
          <w:b/>
          <w:sz w:val="24"/>
        </w:rPr>
        <w:t>DATE:</w:t>
      </w:r>
      <w:r w:rsidR="00366A01">
        <w:rPr>
          <w:b/>
          <w:sz w:val="24"/>
        </w:rPr>
        <w:tab/>
        <w:t>March 18, 2021</w:t>
      </w:r>
      <w:r>
        <w:rPr>
          <w:b/>
          <w:sz w:val="24"/>
        </w:rPr>
        <w:tab/>
      </w:r>
    </w:p>
    <w:p w14:paraId="2E3B9734" w14:textId="77777777" w:rsidR="001235A2" w:rsidRDefault="001235A2">
      <w:pPr>
        <w:rPr>
          <w:b/>
          <w:sz w:val="24"/>
        </w:rPr>
      </w:pPr>
    </w:p>
    <w:p w14:paraId="3F2464E8" w14:textId="493DBF8D" w:rsidR="00C51025" w:rsidRDefault="00DA0B67">
      <w:pPr>
        <w:rPr>
          <w:b/>
          <w:sz w:val="24"/>
        </w:rPr>
      </w:pPr>
      <w:r>
        <w:rPr>
          <w:b/>
          <w:sz w:val="24"/>
        </w:rPr>
        <w:t xml:space="preserve">AMENDMENT NO. </w:t>
      </w:r>
      <w:r w:rsidR="005C50AE">
        <w:rPr>
          <w:b/>
          <w:sz w:val="24"/>
        </w:rPr>
        <w:t xml:space="preserve"> </w:t>
      </w:r>
      <w:r w:rsidR="00B0454F">
        <w:rPr>
          <w:b/>
          <w:sz w:val="24"/>
        </w:rPr>
        <w:t>1 to Item #</w:t>
      </w:r>
      <w:r w:rsidR="00366A01">
        <w:rPr>
          <w:b/>
          <w:sz w:val="24"/>
        </w:rPr>
        <w:t>16</w:t>
      </w:r>
    </w:p>
    <w:p w14:paraId="723FE8E7" w14:textId="77777777" w:rsidR="00053D06" w:rsidRDefault="00053D06">
      <w:pPr>
        <w:rPr>
          <w:b/>
          <w:sz w:val="24"/>
        </w:rPr>
      </w:pPr>
    </w:p>
    <w:p w14:paraId="18D6D0D8" w14:textId="72A6BB1B" w:rsidR="00CE3CDD" w:rsidRDefault="00DA0B67">
      <w:pPr>
        <w:spacing w:line="360" w:lineRule="auto"/>
        <w:rPr>
          <w:b/>
          <w:sz w:val="24"/>
        </w:rPr>
      </w:pPr>
      <w:r>
        <w:rPr>
          <w:b/>
          <w:sz w:val="24"/>
        </w:rPr>
        <w:tab/>
        <w:t xml:space="preserve">Resolution File No. </w:t>
      </w:r>
      <w:r>
        <w:rPr>
          <w:b/>
          <w:sz w:val="24"/>
        </w:rPr>
        <w:tab/>
      </w:r>
      <w:r w:rsidR="00366A01">
        <w:rPr>
          <w:b/>
          <w:sz w:val="24"/>
        </w:rPr>
        <w:t>21-299</w:t>
      </w:r>
    </w:p>
    <w:p w14:paraId="0416A9BE" w14:textId="77777777" w:rsidR="00DA0B67" w:rsidRDefault="00DA0B67">
      <w:pPr>
        <w:spacing w:line="360" w:lineRule="auto"/>
        <w:rPr>
          <w:b/>
          <w:sz w:val="24"/>
        </w:rPr>
      </w:pPr>
      <w:r>
        <w:rPr>
          <w:b/>
          <w:sz w:val="24"/>
        </w:rPr>
        <w:tab/>
        <w:t>Ordinance File No.</w:t>
      </w:r>
      <w:r>
        <w:rPr>
          <w:b/>
          <w:sz w:val="24"/>
        </w:rPr>
        <w:tab/>
      </w:r>
    </w:p>
    <w:p w14:paraId="747A8522" w14:textId="77777777" w:rsidR="00DA0B67" w:rsidRDefault="00DA0B67">
      <w:pPr>
        <w:rPr>
          <w:b/>
          <w:sz w:val="24"/>
        </w:rPr>
      </w:pPr>
    </w:p>
    <w:p w14:paraId="1B526283" w14:textId="59F8755C" w:rsidR="00B0454F" w:rsidRDefault="00DA0B67">
      <w:pPr>
        <w:rPr>
          <w:b/>
          <w:sz w:val="24"/>
        </w:rPr>
      </w:pPr>
      <w:r>
        <w:rPr>
          <w:b/>
          <w:sz w:val="24"/>
        </w:rPr>
        <w:t>COMMITTEE:</w:t>
      </w:r>
      <w:r>
        <w:rPr>
          <w:b/>
          <w:sz w:val="24"/>
        </w:rPr>
        <w:tab/>
      </w:r>
      <w:r w:rsidR="00366A01">
        <w:rPr>
          <w:b/>
          <w:sz w:val="24"/>
        </w:rPr>
        <w:t>Finance</w:t>
      </w:r>
    </w:p>
    <w:p w14:paraId="429A0A7D" w14:textId="77777777" w:rsidR="00C91E5C" w:rsidRDefault="00C91E5C">
      <w:pPr>
        <w:rPr>
          <w:b/>
          <w:sz w:val="24"/>
        </w:rPr>
      </w:pPr>
    </w:p>
    <w:p w14:paraId="2A914184" w14:textId="06C0E29E" w:rsidR="00DA0B67" w:rsidRDefault="00DA0B67">
      <w:pPr>
        <w:rPr>
          <w:b/>
          <w:sz w:val="24"/>
        </w:rPr>
      </w:pPr>
      <w:r>
        <w:rPr>
          <w:b/>
          <w:sz w:val="24"/>
        </w:rPr>
        <w:t>OFFERED BY SUPERVISOR(S):</w:t>
      </w:r>
      <w:r>
        <w:rPr>
          <w:b/>
          <w:sz w:val="24"/>
        </w:rPr>
        <w:tab/>
      </w:r>
      <w:r w:rsidR="00366A01">
        <w:rPr>
          <w:b/>
          <w:sz w:val="24"/>
        </w:rPr>
        <w:tab/>
        <w:t>Rolland</w:t>
      </w:r>
      <w:r w:rsidR="007F7AC8">
        <w:rPr>
          <w:b/>
          <w:sz w:val="24"/>
        </w:rPr>
        <w:t xml:space="preserve"> and Haas</w:t>
      </w:r>
      <w:r>
        <w:rPr>
          <w:b/>
          <w:sz w:val="24"/>
        </w:rPr>
        <w:tab/>
      </w:r>
    </w:p>
    <w:p w14:paraId="218B3235" w14:textId="77777777" w:rsidR="00CE3CDD" w:rsidRDefault="00CE3CDD">
      <w:pPr>
        <w:rPr>
          <w:b/>
          <w:sz w:val="24"/>
        </w:rPr>
      </w:pPr>
    </w:p>
    <w:p w14:paraId="7411D924" w14:textId="77777777" w:rsidR="00DA0B67" w:rsidRDefault="00DA0B67">
      <w:pPr>
        <w:rPr>
          <w:b/>
          <w:sz w:val="24"/>
        </w:rPr>
      </w:pPr>
      <w:r>
        <w:rPr>
          <w:b/>
          <w:sz w:val="24"/>
        </w:rPr>
        <w:t>ADD AND/OR DELETE AS FOLLOWS:</w:t>
      </w:r>
    </w:p>
    <w:p w14:paraId="6BC43BA0" w14:textId="77777777" w:rsidR="00DA0B67" w:rsidRDefault="00DA0B67">
      <w:pPr>
        <w:rPr>
          <w:b/>
          <w:sz w:val="24"/>
        </w:rPr>
      </w:pPr>
    </w:p>
    <w:p w14:paraId="085A5F18" w14:textId="3A23674A" w:rsidR="00366A01" w:rsidRPr="00366A01" w:rsidRDefault="00366A01" w:rsidP="00366A01">
      <w:pPr>
        <w:pStyle w:val="Heading1"/>
        <w:jc w:val="left"/>
        <w:rPr>
          <w:rFonts w:ascii="Times New Roman" w:hAnsi="Times New Roman"/>
          <w:szCs w:val="24"/>
        </w:rPr>
      </w:pPr>
      <w:r>
        <w:rPr>
          <w:rFonts w:ascii="Times New Roman" w:hAnsi="Times New Roman"/>
          <w:szCs w:val="24"/>
        </w:rPr>
        <w:t>Amend the WHEREAS clauses as follows:</w:t>
      </w:r>
    </w:p>
    <w:p w14:paraId="0DFECEC0" w14:textId="77777777" w:rsidR="00366A01" w:rsidRPr="00366A01" w:rsidRDefault="00366A01" w:rsidP="00366A01">
      <w:pPr>
        <w:tabs>
          <w:tab w:val="left" w:pos="1080"/>
        </w:tabs>
        <w:rPr>
          <w:sz w:val="24"/>
          <w:szCs w:val="24"/>
        </w:rPr>
      </w:pPr>
      <w:r w:rsidRPr="00366A01">
        <w:rPr>
          <w:sz w:val="24"/>
          <w:szCs w:val="24"/>
        </w:rPr>
        <w:tab/>
      </w:r>
    </w:p>
    <w:p w14:paraId="034E439E" w14:textId="0DE44760" w:rsidR="00366A01" w:rsidRDefault="00366A01" w:rsidP="00366A01">
      <w:pPr>
        <w:pStyle w:val="BodyText2"/>
        <w:spacing w:line="240" w:lineRule="auto"/>
        <w:rPr>
          <w:sz w:val="24"/>
          <w:szCs w:val="24"/>
        </w:rPr>
      </w:pPr>
      <w:r w:rsidRPr="00366A01">
        <w:rPr>
          <w:sz w:val="24"/>
          <w:szCs w:val="24"/>
        </w:rPr>
        <w:tab/>
        <w:t xml:space="preserve">WHEREAS, Milwaukee County contracts with Willis of Wisconsin for consulting and actuarial services for non-pension benefit plans which include medical, dental, vision, and life insurance plans for the 2021 through 2024 plan years for eligible Milwaukee County employees and </w:t>
      </w:r>
      <w:proofErr w:type="gramStart"/>
      <w:r w:rsidRPr="00366A01">
        <w:rPr>
          <w:sz w:val="24"/>
          <w:szCs w:val="24"/>
        </w:rPr>
        <w:t>retirees;</w:t>
      </w:r>
      <w:proofErr w:type="gramEnd"/>
      <w:r w:rsidRPr="00366A01">
        <w:rPr>
          <w:sz w:val="24"/>
          <w:szCs w:val="24"/>
        </w:rPr>
        <w:t xml:space="preserve"> and</w:t>
      </w:r>
    </w:p>
    <w:p w14:paraId="0992E3E7" w14:textId="77777777" w:rsidR="00366A01" w:rsidRDefault="00366A01" w:rsidP="00366A01">
      <w:pPr>
        <w:pStyle w:val="BodyText2"/>
        <w:spacing w:line="240" w:lineRule="auto"/>
        <w:rPr>
          <w:sz w:val="24"/>
          <w:szCs w:val="24"/>
        </w:rPr>
      </w:pPr>
    </w:p>
    <w:p w14:paraId="1F26FE5A" w14:textId="7E0FA145" w:rsidR="00366A01" w:rsidRDefault="00366A01" w:rsidP="00366A01">
      <w:pPr>
        <w:pStyle w:val="BodyText2"/>
        <w:spacing w:line="240" w:lineRule="auto"/>
        <w:rPr>
          <w:sz w:val="24"/>
          <w:szCs w:val="24"/>
          <w:u w:val="single"/>
        </w:rPr>
      </w:pPr>
      <w:r>
        <w:rPr>
          <w:sz w:val="24"/>
          <w:szCs w:val="24"/>
        </w:rPr>
        <w:tab/>
      </w:r>
      <w:r w:rsidRPr="00366A01">
        <w:rPr>
          <w:sz w:val="24"/>
          <w:szCs w:val="24"/>
          <w:u w:val="single"/>
        </w:rPr>
        <w:t>WHEREAS, at its meeting on March 18, 2021, the Committee on Finance received testimony from the Director of Employee Benefits, Department of Human Resources, that the contract for consulting and actuarial services for non-pension benefit plans had not been subject to competitive bid for at least eight years; and</w:t>
      </w:r>
    </w:p>
    <w:p w14:paraId="38AAD23F" w14:textId="0C50903C" w:rsidR="00DE4876" w:rsidRDefault="00DE4876" w:rsidP="00366A01">
      <w:pPr>
        <w:pStyle w:val="BodyText2"/>
        <w:spacing w:line="240" w:lineRule="auto"/>
        <w:rPr>
          <w:sz w:val="24"/>
          <w:szCs w:val="24"/>
          <w:u w:val="single"/>
        </w:rPr>
      </w:pPr>
    </w:p>
    <w:p w14:paraId="09B9FD01" w14:textId="2E320673" w:rsidR="00DE4876" w:rsidRPr="00366A01" w:rsidRDefault="00DE4876" w:rsidP="00366A01">
      <w:pPr>
        <w:pStyle w:val="BodyText2"/>
        <w:spacing w:line="240" w:lineRule="auto"/>
        <w:rPr>
          <w:sz w:val="24"/>
          <w:szCs w:val="24"/>
          <w:u w:val="single"/>
        </w:rPr>
      </w:pPr>
      <w:r w:rsidRPr="00DE4876">
        <w:rPr>
          <w:sz w:val="24"/>
          <w:szCs w:val="24"/>
        </w:rPr>
        <w:tab/>
      </w:r>
      <w:r>
        <w:rPr>
          <w:sz w:val="24"/>
          <w:szCs w:val="24"/>
          <w:u w:val="single"/>
        </w:rPr>
        <w:t>WHEREAS, Section 56.30(5) of the Milwaukee County General Ordinances requires a Request for Proposals (RFP) for these professional services unless waived by the County Board of Supervisors; and</w:t>
      </w:r>
    </w:p>
    <w:p w14:paraId="6D40B28D" w14:textId="77777777" w:rsidR="00533279" w:rsidRDefault="00533279" w:rsidP="00366A01">
      <w:pPr>
        <w:pStyle w:val="BodyText2"/>
        <w:spacing w:line="240" w:lineRule="auto"/>
        <w:rPr>
          <w:sz w:val="24"/>
          <w:szCs w:val="24"/>
        </w:rPr>
      </w:pPr>
    </w:p>
    <w:p w14:paraId="6CBE0C30" w14:textId="3573237A" w:rsidR="00366A01" w:rsidRPr="00366A01" w:rsidRDefault="00366A01" w:rsidP="00366A01">
      <w:pPr>
        <w:pStyle w:val="BodyText2"/>
        <w:spacing w:line="240" w:lineRule="auto"/>
        <w:rPr>
          <w:sz w:val="24"/>
          <w:szCs w:val="24"/>
          <w:u w:val="single"/>
        </w:rPr>
      </w:pPr>
      <w:r>
        <w:rPr>
          <w:sz w:val="24"/>
          <w:szCs w:val="24"/>
        </w:rPr>
        <w:tab/>
      </w:r>
      <w:r w:rsidRPr="00366A01">
        <w:rPr>
          <w:sz w:val="24"/>
          <w:szCs w:val="24"/>
          <w:u w:val="single"/>
        </w:rPr>
        <w:t xml:space="preserve">WHEREAS, </w:t>
      </w:r>
      <w:r w:rsidR="007830BB">
        <w:rPr>
          <w:sz w:val="24"/>
          <w:szCs w:val="24"/>
          <w:u w:val="single"/>
        </w:rPr>
        <w:t xml:space="preserve">the members </w:t>
      </w:r>
      <w:r w:rsidRPr="00366A01">
        <w:rPr>
          <w:sz w:val="24"/>
          <w:szCs w:val="24"/>
          <w:u w:val="single"/>
        </w:rPr>
        <w:t xml:space="preserve">of the Committee on Finance </w:t>
      </w:r>
      <w:r w:rsidR="007830BB">
        <w:rPr>
          <w:sz w:val="24"/>
          <w:szCs w:val="24"/>
          <w:u w:val="single"/>
        </w:rPr>
        <w:t xml:space="preserve">desire </w:t>
      </w:r>
      <w:r w:rsidRPr="00366A01">
        <w:rPr>
          <w:sz w:val="24"/>
          <w:szCs w:val="24"/>
          <w:u w:val="single"/>
        </w:rPr>
        <w:t>to solicit a</w:t>
      </w:r>
      <w:r w:rsidR="00DE4876">
        <w:rPr>
          <w:sz w:val="24"/>
          <w:szCs w:val="24"/>
          <w:u w:val="single"/>
        </w:rPr>
        <w:t xml:space="preserve">n </w:t>
      </w:r>
      <w:r w:rsidRPr="00366A01">
        <w:rPr>
          <w:sz w:val="24"/>
          <w:szCs w:val="24"/>
          <w:u w:val="single"/>
        </w:rPr>
        <w:t>RFP for these services while retaining the services of Willis of Wisconsin</w:t>
      </w:r>
      <w:r w:rsidR="006A31AE">
        <w:rPr>
          <w:sz w:val="24"/>
          <w:szCs w:val="24"/>
          <w:u w:val="single"/>
        </w:rPr>
        <w:t xml:space="preserve"> (</w:t>
      </w:r>
      <w:r w:rsidR="00E132CD">
        <w:rPr>
          <w:sz w:val="24"/>
          <w:szCs w:val="24"/>
          <w:u w:val="single"/>
        </w:rPr>
        <w:t>now known as Willis Towers Watson Midwest, Inc. or “Willis Towers Watson”)</w:t>
      </w:r>
      <w:r w:rsidRPr="00366A01">
        <w:rPr>
          <w:sz w:val="24"/>
          <w:szCs w:val="24"/>
          <w:u w:val="single"/>
        </w:rPr>
        <w:t xml:space="preserve"> to provide critical services since the current contract expired at the end of February 2021; and</w:t>
      </w:r>
    </w:p>
    <w:p w14:paraId="6C84A9C9" w14:textId="77777777" w:rsidR="00366A01" w:rsidRPr="00366A01" w:rsidRDefault="00366A01" w:rsidP="00366A01">
      <w:pPr>
        <w:pStyle w:val="BodyText2"/>
        <w:spacing w:line="240" w:lineRule="auto"/>
        <w:rPr>
          <w:sz w:val="24"/>
          <w:szCs w:val="24"/>
        </w:rPr>
      </w:pPr>
    </w:p>
    <w:p w14:paraId="3872765D" w14:textId="00D2DCD0" w:rsidR="00366A01" w:rsidRDefault="00366A01" w:rsidP="00366A01">
      <w:pPr>
        <w:tabs>
          <w:tab w:val="left" w:pos="720"/>
          <w:tab w:val="left" w:pos="1080"/>
        </w:tabs>
        <w:rPr>
          <w:sz w:val="24"/>
          <w:szCs w:val="24"/>
        </w:rPr>
      </w:pPr>
      <w:r w:rsidRPr="00366A01">
        <w:rPr>
          <w:sz w:val="24"/>
          <w:szCs w:val="24"/>
        </w:rPr>
        <w:tab/>
        <w:t xml:space="preserve">WHEREAS, Willis </w:t>
      </w:r>
      <w:r w:rsidR="00E132CD" w:rsidRPr="00E132CD">
        <w:rPr>
          <w:sz w:val="24"/>
          <w:szCs w:val="24"/>
          <w:u w:val="single"/>
        </w:rPr>
        <w:t>Towers Watson</w:t>
      </w:r>
      <w:r w:rsidR="00E132CD">
        <w:rPr>
          <w:sz w:val="24"/>
          <w:szCs w:val="24"/>
        </w:rPr>
        <w:t xml:space="preserve"> </w:t>
      </w:r>
      <w:r w:rsidRPr="00E132CD">
        <w:rPr>
          <w:strike/>
          <w:sz w:val="24"/>
          <w:szCs w:val="24"/>
        </w:rPr>
        <w:t>of Wisconsin</w:t>
      </w:r>
      <w:r w:rsidRPr="00366A01">
        <w:rPr>
          <w:sz w:val="24"/>
          <w:szCs w:val="24"/>
        </w:rPr>
        <w:t xml:space="preserve"> premium rate for consulting and actuarial services coverage will remain the same as the 2020 premium rate for Milwaukee County’s coverage </w:t>
      </w:r>
      <w:proofErr w:type="gramStart"/>
      <w:r w:rsidRPr="00366A01">
        <w:rPr>
          <w:sz w:val="24"/>
          <w:szCs w:val="24"/>
        </w:rPr>
        <w:t>levels;</w:t>
      </w:r>
      <w:proofErr w:type="gramEnd"/>
      <w:r w:rsidRPr="00366A01">
        <w:rPr>
          <w:sz w:val="24"/>
          <w:szCs w:val="24"/>
        </w:rPr>
        <w:t xml:space="preserve"> now, therefore</w:t>
      </w:r>
      <w:r w:rsidR="00533279">
        <w:rPr>
          <w:sz w:val="24"/>
          <w:szCs w:val="24"/>
        </w:rPr>
        <w:t>,</w:t>
      </w:r>
      <w:r w:rsidRPr="00366A01">
        <w:rPr>
          <w:sz w:val="24"/>
          <w:szCs w:val="24"/>
        </w:rPr>
        <w:t xml:space="preserve"> </w:t>
      </w:r>
    </w:p>
    <w:p w14:paraId="47DB4484" w14:textId="41E05AE3" w:rsidR="00366A01" w:rsidRDefault="00366A01" w:rsidP="00366A01">
      <w:pPr>
        <w:tabs>
          <w:tab w:val="left" w:pos="720"/>
          <w:tab w:val="left" w:pos="1080"/>
        </w:tabs>
        <w:rPr>
          <w:sz w:val="24"/>
          <w:szCs w:val="24"/>
        </w:rPr>
      </w:pPr>
    </w:p>
    <w:p w14:paraId="570B959F" w14:textId="5CC53BF9" w:rsidR="00366A01" w:rsidRPr="00533279" w:rsidRDefault="00366A01" w:rsidP="00366A01">
      <w:pPr>
        <w:tabs>
          <w:tab w:val="left" w:pos="720"/>
          <w:tab w:val="left" w:pos="1080"/>
        </w:tabs>
        <w:rPr>
          <w:sz w:val="24"/>
          <w:szCs w:val="24"/>
          <w:u w:val="single"/>
        </w:rPr>
      </w:pPr>
      <w:r>
        <w:rPr>
          <w:sz w:val="24"/>
          <w:szCs w:val="24"/>
        </w:rPr>
        <w:lastRenderedPageBreak/>
        <w:tab/>
      </w:r>
      <w:r w:rsidRPr="00533279">
        <w:rPr>
          <w:sz w:val="24"/>
          <w:szCs w:val="24"/>
          <w:u w:val="single"/>
        </w:rPr>
        <w:t>BE IT RESOLVED, the proposal</w:t>
      </w:r>
      <w:r w:rsidR="00533279" w:rsidRPr="00533279">
        <w:rPr>
          <w:sz w:val="24"/>
          <w:szCs w:val="24"/>
          <w:u w:val="single"/>
        </w:rPr>
        <w:t xml:space="preserve"> submitted by the Director of Benefits, Department of Human Resources, to extend the agreement with Willis </w:t>
      </w:r>
      <w:r w:rsidR="00E132CD">
        <w:rPr>
          <w:sz w:val="24"/>
          <w:szCs w:val="24"/>
          <w:u w:val="single"/>
        </w:rPr>
        <w:t>Towers Watson f</w:t>
      </w:r>
      <w:r w:rsidR="00533279" w:rsidRPr="00533279">
        <w:rPr>
          <w:sz w:val="24"/>
          <w:szCs w:val="24"/>
          <w:u w:val="single"/>
        </w:rPr>
        <w:t>or coverage of Milwaukee County medical, dental, vision, and life insurance plans for the 2021 through 2023 plan years at the 2020 rates is hereby rejected; and</w:t>
      </w:r>
    </w:p>
    <w:p w14:paraId="068F880F" w14:textId="4B636783" w:rsidR="00533279" w:rsidRDefault="00533279" w:rsidP="00366A01">
      <w:pPr>
        <w:tabs>
          <w:tab w:val="left" w:pos="720"/>
          <w:tab w:val="left" w:pos="1080"/>
        </w:tabs>
        <w:rPr>
          <w:sz w:val="24"/>
          <w:szCs w:val="24"/>
        </w:rPr>
      </w:pPr>
    </w:p>
    <w:p w14:paraId="3F86F20B" w14:textId="0A5E0DFC" w:rsidR="00533279" w:rsidRPr="00533279" w:rsidRDefault="00533279" w:rsidP="00366A01">
      <w:pPr>
        <w:tabs>
          <w:tab w:val="left" w:pos="720"/>
          <w:tab w:val="left" w:pos="1080"/>
        </w:tabs>
        <w:rPr>
          <w:sz w:val="24"/>
          <w:szCs w:val="24"/>
          <w:u w:val="single"/>
        </w:rPr>
      </w:pPr>
      <w:r>
        <w:rPr>
          <w:sz w:val="24"/>
          <w:szCs w:val="24"/>
        </w:rPr>
        <w:tab/>
      </w:r>
      <w:r w:rsidRPr="00533279">
        <w:rPr>
          <w:sz w:val="24"/>
          <w:szCs w:val="24"/>
          <w:u w:val="single"/>
        </w:rPr>
        <w:t>BE IT FURTHER RESOLVED, the Director of Benefits, Department of Human Resources, with the assistance of the Director of Procurement, Department of Administrative Services, is requested to prepare and issue a request for proposals (RFP) for consulting and actuarial services for non-pension benefit plans; and</w:t>
      </w:r>
    </w:p>
    <w:p w14:paraId="1A339F62" w14:textId="77777777" w:rsidR="00366A01" w:rsidRPr="00366A01" w:rsidRDefault="00366A01" w:rsidP="00366A01">
      <w:pPr>
        <w:pStyle w:val="BodyText2"/>
        <w:spacing w:line="240" w:lineRule="auto"/>
        <w:rPr>
          <w:sz w:val="24"/>
          <w:szCs w:val="24"/>
        </w:rPr>
      </w:pPr>
    </w:p>
    <w:p w14:paraId="49764506" w14:textId="2AAB73B4" w:rsidR="00366A01" w:rsidRDefault="00366A01" w:rsidP="00366A01">
      <w:pPr>
        <w:pStyle w:val="BodyText2"/>
        <w:spacing w:line="240" w:lineRule="auto"/>
        <w:rPr>
          <w:sz w:val="24"/>
          <w:szCs w:val="24"/>
          <w:u w:val="single"/>
        </w:rPr>
      </w:pPr>
      <w:r w:rsidRPr="00366A01">
        <w:rPr>
          <w:sz w:val="24"/>
          <w:szCs w:val="24"/>
        </w:rPr>
        <w:tab/>
        <w:t xml:space="preserve">BE IT </w:t>
      </w:r>
      <w:r w:rsidR="00533279" w:rsidRPr="00533279">
        <w:rPr>
          <w:sz w:val="24"/>
          <w:szCs w:val="24"/>
          <w:u w:val="single"/>
        </w:rPr>
        <w:t>FURTHER</w:t>
      </w:r>
      <w:r w:rsidR="00533279">
        <w:rPr>
          <w:sz w:val="24"/>
          <w:szCs w:val="24"/>
        </w:rPr>
        <w:t xml:space="preserve"> </w:t>
      </w:r>
      <w:r w:rsidRPr="00366A01">
        <w:rPr>
          <w:sz w:val="24"/>
          <w:szCs w:val="24"/>
        </w:rPr>
        <w:t xml:space="preserve">RESOLVED, the Director of Benefits, Department of Human Resources, is hereby authorized to purchase consulting and actuarial service from Willis </w:t>
      </w:r>
      <w:r w:rsidRPr="00E132CD">
        <w:rPr>
          <w:strike/>
          <w:sz w:val="24"/>
          <w:szCs w:val="24"/>
        </w:rPr>
        <w:t>of Wisconsin</w:t>
      </w:r>
      <w:r w:rsidRPr="00366A01">
        <w:rPr>
          <w:sz w:val="24"/>
          <w:szCs w:val="24"/>
        </w:rPr>
        <w:t xml:space="preserve"> </w:t>
      </w:r>
      <w:r w:rsidR="00E132CD" w:rsidRPr="00E132CD">
        <w:rPr>
          <w:sz w:val="24"/>
          <w:szCs w:val="24"/>
          <w:u w:val="single"/>
        </w:rPr>
        <w:t>Towers Watson</w:t>
      </w:r>
      <w:r w:rsidR="00E132CD">
        <w:rPr>
          <w:sz w:val="24"/>
          <w:szCs w:val="24"/>
        </w:rPr>
        <w:t xml:space="preserve"> </w:t>
      </w:r>
      <w:r w:rsidRPr="00366A01">
        <w:rPr>
          <w:sz w:val="24"/>
          <w:szCs w:val="24"/>
        </w:rPr>
        <w:t xml:space="preserve">for coverage of Milwaukee County medical, dental, vision, and life insurance plans for the </w:t>
      </w:r>
      <w:r w:rsidR="00533279" w:rsidRPr="00533279">
        <w:rPr>
          <w:sz w:val="24"/>
          <w:szCs w:val="24"/>
          <w:u w:val="single"/>
        </w:rPr>
        <w:t>period of March</w:t>
      </w:r>
      <w:r w:rsidR="00533279">
        <w:rPr>
          <w:sz w:val="24"/>
          <w:szCs w:val="24"/>
          <w:u w:val="single"/>
        </w:rPr>
        <w:t xml:space="preserve"> 1,</w:t>
      </w:r>
      <w:r w:rsidR="00533279">
        <w:rPr>
          <w:sz w:val="24"/>
          <w:szCs w:val="24"/>
        </w:rPr>
        <w:t xml:space="preserve"> </w:t>
      </w:r>
      <w:r w:rsidRPr="00366A01">
        <w:rPr>
          <w:sz w:val="24"/>
          <w:szCs w:val="24"/>
        </w:rPr>
        <w:t>2021 through</w:t>
      </w:r>
      <w:r w:rsidR="00533279">
        <w:rPr>
          <w:sz w:val="24"/>
          <w:szCs w:val="24"/>
        </w:rPr>
        <w:t xml:space="preserve"> </w:t>
      </w:r>
      <w:r w:rsidR="00533279" w:rsidRPr="00533279">
        <w:rPr>
          <w:sz w:val="24"/>
          <w:szCs w:val="24"/>
          <w:u w:val="single"/>
        </w:rPr>
        <w:t>February</w:t>
      </w:r>
      <w:r w:rsidR="00533279">
        <w:rPr>
          <w:sz w:val="24"/>
          <w:szCs w:val="24"/>
          <w:u w:val="single"/>
        </w:rPr>
        <w:t xml:space="preserve"> 28,</w:t>
      </w:r>
      <w:r w:rsidR="00533279" w:rsidRPr="00533279">
        <w:rPr>
          <w:sz w:val="24"/>
          <w:szCs w:val="24"/>
          <w:u w:val="single"/>
        </w:rPr>
        <w:t xml:space="preserve"> 2022</w:t>
      </w:r>
      <w:r w:rsidRPr="00366A01">
        <w:rPr>
          <w:sz w:val="24"/>
          <w:szCs w:val="24"/>
        </w:rPr>
        <w:t xml:space="preserve"> </w:t>
      </w:r>
      <w:r w:rsidRPr="00533279">
        <w:rPr>
          <w:strike/>
          <w:sz w:val="24"/>
          <w:szCs w:val="24"/>
        </w:rPr>
        <w:t>2023 plan years</w:t>
      </w:r>
      <w:r w:rsidRPr="00366A01">
        <w:rPr>
          <w:sz w:val="24"/>
          <w:szCs w:val="24"/>
        </w:rPr>
        <w:t xml:space="preserve"> </w:t>
      </w:r>
      <w:r w:rsidRPr="00533279">
        <w:rPr>
          <w:sz w:val="24"/>
          <w:szCs w:val="24"/>
          <w:u w:val="single"/>
        </w:rPr>
        <w:t xml:space="preserve">at </w:t>
      </w:r>
      <w:r w:rsidR="00533279" w:rsidRPr="00533279">
        <w:rPr>
          <w:sz w:val="24"/>
          <w:szCs w:val="24"/>
          <w:u w:val="single"/>
        </w:rPr>
        <w:t>a rate not-to-exceed $173,000</w:t>
      </w:r>
      <w:r w:rsidR="00533279">
        <w:rPr>
          <w:sz w:val="24"/>
          <w:szCs w:val="24"/>
        </w:rPr>
        <w:t xml:space="preserve"> </w:t>
      </w:r>
      <w:r w:rsidRPr="00533279">
        <w:rPr>
          <w:strike/>
          <w:sz w:val="24"/>
          <w:szCs w:val="24"/>
        </w:rPr>
        <w:t>the 2020 rates.</w:t>
      </w:r>
      <w:r w:rsidR="00533279" w:rsidRPr="00533279">
        <w:rPr>
          <w:sz w:val="24"/>
          <w:szCs w:val="24"/>
        </w:rPr>
        <w:t xml:space="preserve"> </w:t>
      </w:r>
      <w:r w:rsidR="00533279" w:rsidRPr="00533279">
        <w:rPr>
          <w:sz w:val="24"/>
          <w:szCs w:val="24"/>
          <w:u w:val="single"/>
        </w:rPr>
        <w:t>; and</w:t>
      </w:r>
    </w:p>
    <w:p w14:paraId="2D9362B9" w14:textId="77777777" w:rsidR="007830BB" w:rsidRDefault="007830BB" w:rsidP="00366A01">
      <w:pPr>
        <w:pStyle w:val="BodyText2"/>
        <w:spacing w:line="240" w:lineRule="auto"/>
        <w:rPr>
          <w:sz w:val="24"/>
          <w:szCs w:val="24"/>
        </w:rPr>
      </w:pPr>
    </w:p>
    <w:p w14:paraId="7293D870" w14:textId="4EADBD08" w:rsidR="00533279" w:rsidRPr="007830BB" w:rsidRDefault="00533279" w:rsidP="00366A01">
      <w:pPr>
        <w:pStyle w:val="BodyText2"/>
        <w:spacing w:line="240" w:lineRule="auto"/>
        <w:rPr>
          <w:sz w:val="24"/>
          <w:szCs w:val="24"/>
          <w:u w:val="single"/>
        </w:rPr>
      </w:pPr>
      <w:r w:rsidRPr="00533279">
        <w:rPr>
          <w:sz w:val="24"/>
          <w:szCs w:val="24"/>
        </w:rPr>
        <w:tab/>
      </w:r>
      <w:r w:rsidRPr="007830BB">
        <w:rPr>
          <w:sz w:val="24"/>
          <w:szCs w:val="24"/>
          <w:u w:val="single"/>
        </w:rPr>
        <w:t>BE IT FURTHER RESOLVED, the</w:t>
      </w:r>
      <w:r w:rsidR="007830BB" w:rsidRPr="007830BB">
        <w:rPr>
          <w:sz w:val="24"/>
          <w:szCs w:val="24"/>
          <w:u w:val="single"/>
        </w:rPr>
        <w:t xml:space="preserve"> </w:t>
      </w:r>
      <w:r w:rsidR="007830BB" w:rsidRPr="007830BB">
        <w:rPr>
          <w:sz w:val="23"/>
          <w:szCs w:val="23"/>
          <w:u w:val="single"/>
        </w:rPr>
        <w:t xml:space="preserve">provisions of Sections 56.30 (8) and (9) of the Milwaukee  County Code of General Ordinances are hereby waived and the Comptroller is authorized to pay Willis </w:t>
      </w:r>
      <w:r w:rsidR="00E132CD">
        <w:rPr>
          <w:sz w:val="23"/>
          <w:szCs w:val="23"/>
          <w:u w:val="single"/>
        </w:rPr>
        <w:t xml:space="preserve">Towers Watson </w:t>
      </w:r>
      <w:r w:rsidR="007830BB" w:rsidRPr="007830BB">
        <w:rPr>
          <w:sz w:val="23"/>
          <w:szCs w:val="23"/>
          <w:u w:val="single"/>
        </w:rPr>
        <w:t xml:space="preserve">for </w:t>
      </w:r>
      <w:r w:rsidR="007830BB" w:rsidRPr="007830BB">
        <w:rPr>
          <w:sz w:val="24"/>
          <w:szCs w:val="24"/>
          <w:u w:val="single"/>
        </w:rPr>
        <w:t xml:space="preserve">consulting and actuarial services </w:t>
      </w:r>
      <w:r w:rsidR="007830BB" w:rsidRPr="007830BB">
        <w:rPr>
          <w:sz w:val="23"/>
          <w:szCs w:val="23"/>
          <w:u w:val="single"/>
        </w:rPr>
        <w:t xml:space="preserve">rendered </w:t>
      </w:r>
      <w:r w:rsidR="00DE4876">
        <w:rPr>
          <w:sz w:val="23"/>
          <w:szCs w:val="23"/>
          <w:u w:val="single"/>
        </w:rPr>
        <w:t xml:space="preserve">prior to </w:t>
      </w:r>
      <w:r w:rsidR="007830BB" w:rsidRPr="007830BB">
        <w:rPr>
          <w:sz w:val="23"/>
          <w:szCs w:val="23"/>
          <w:u w:val="single"/>
        </w:rPr>
        <w:t>a one-year contract for the period of March 1, 2021 through February 28, 20</w:t>
      </w:r>
      <w:r w:rsidR="00DE4876">
        <w:rPr>
          <w:sz w:val="23"/>
          <w:szCs w:val="23"/>
          <w:u w:val="single"/>
        </w:rPr>
        <w:t>2</w:t>
      </w:r>
      <w:r w:rsidR="007830BB" w:rsidRPr="007830BB">
        <w:rPr>
          <w:sz w:val="23"/>
          <w:szCs w:val="23"/>
          <w:u w:val="single"/>
        </w:rPr>
        <w:t xml:space="preserve">2 </w:t>
      </w:r>
      <w:r w:rsidR="00DE4876">
        <w:rPr>
          <w:sz w:val="23"/>
          <w:szCs w:val="23"/>
          <w:u w:val="single"/>
        </w:rPr>
        <w:t>is</w:t>
      </w:r>
      <w:r w:rsidR="007830BB" w:rsidRPr="007830BB">
        <w:rPr>
          <w:sz w:val="23"/>
          <w:szCs w:val="23"/>
          <w:u w:val="single"/>
        </w:rPr>
        <w:t xml:space="preserve"> signed and executed.</w:t>
      </w:r>
    </w:p>
    <w:p w14:paraId="32BEAD68" w14:textId="77777777" w:rsidR="007830BB" w:rsidRDefault="00366A01" w:rsidP="00366A01">
      <w:pPr>
        <w:pStyle w:val="BodyText2"/>
        <w:spacing w:line="240" w:lineRule="auto"/>
        <w:rPr>
          <w:sz w:val="24"/>
          <w:szCs w:val="24"/>
        </w:rPr>
      </w:pPr>
      <w:r w:rsidRPr="00366A01">
        <w:rPr>
          <w:sz w:val="24"/>
          <w:szCs w:val="24"/>
        </w:rPr>
        <w:tab/>
      </w:r>
    </w:p>
    <w:p w14:paraId="723A0B6B" w14:textId="0A3F2016" w:rsidR="00366A01" w:rsidRPr="007830BB" w:rsidRDefault="00366A01" w:rsidP="007830BB">
      <w:pPr>
        <w:pStyle w:val="BodyText2"/>
        <w:spacing w:line="240" w:lineRule="auto"/>
        <w:ind w:firstLine="720"/>
        <w:rPr>
          <w:strike/>
          <w:sz w:val="24"/>
          <w:szCs w:val="24"/>
        </w:rPr>
      </w:pPr>
      <w:r w:rsidRPr="007830BB">
        <w:rPr>
          <w:strike/>
          <w:sz w:val="24"/>
          <w:szCs w:val="24"/>
        </w:rPr>
        <w:t xml:space="preserve">BE IT </w:t>
      </w:r>
      <w:proofErr w:type="gramStart"/>
      <w:r w:rsidRPr="007830BB">
        <w:rPr>
          <w:strike/>
          <w:sz w:val="24"/>
          <w:szCs w:val="24"/>
        </w:rPr>
        <w:t>FURTHER RESOLVED,</w:t>
      </w:r>
      <w:proofErr w:type="gramEnd"/>
      <w:r w:rsidRPr="007830BB">
        <w:rPr>
          <w:strike/>
          <w:sz w:val="24"/>
          <w:szCs w:val="24"/>
        </w:rPr>
        <w:t xml:space="preserve"> that the Director of Benefits, Department of Human Resources, is hereby approved to extend a contract to Willis of Wisconsin for consulting and actuarial services to take effect March 1, 2021.</w:t>
      </w:r>
    </w:p>
    <w:p w14:paraId="62306B93" w14:textId="77777777" w:rsidR="00891FF3" w:rsidRDefault="00891FF3">
      <w:pPr>
        <w:rPr>
          <w:b/>
          <w:sz w:val="24"/>
        </w:rPr>
      </w:pPr>
    </w:p>
    <w:p w14:paraId="769BC961" w14:textId="77777777" w:rsidR="00B0454F" w:rsidRDefault="00B0454F" w:rsidP="00B0454F">
      <w:pPr>
        <w:pStyle w:val="Default"/>
      </w:pPr>
    </w:p>
    <w:p w14:paraId="51898C6B" w14:textId="77777777" w:rsidR="00891FF3" w:rsidRPr="00891FF3" w:rsidRDefault="00B0454F" w:rsidP="00891FF3">
      <w:pPr>
        <w:rPr>
          <w:sz w:val="24"/>
          <w:szCs w:val="24"/>
        </w:rPr>
      </w:pPr>
      <w:r w:rsidRPr="00891FF3">
        <w:rPr>
          <w:sz w:val="24"/>
          <w:szCs w:val="24"/>
        </w:rPr>
        <w:t xml:space="preserve"> </w:t>
      </w:r>
      <w:r w:rsidR="00891FF3">
        <w:rPr>
          <w:sz w:val="24"/>
          <w:szCs w:val="24"/>
        </w:rPr>
        <w:tab/>
      </w:r>
      <w:r w:rsidR="00891FF3" w:rsidRPr="00891FF3">
        <w:rPr>
          <w:sz w:val="24"/>
          <w:szCs w:val="24"/>
        </w:rPr>
        <w:t xml:space="preserve"> </w:t>
      </w:r>
    </w:p>
    <w:p w14:paraId="24DCBA37" w14:textId="77777777" w:rsidR="008E608B" w:rsidRPr="00891FF3" w:rsidRDefault="008E608B" w:rsidP="007830BB">
      <w:pPr>
        <w:rPr>
          <w:sz w:val="24"/>
          <w:szCs w:val="24"/>
        </w:rPr>
      </w:pPr>
    </w:p>
    <w:sectPr w:rsidR="008E608B" w:rsidRPr="00891FF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7D2F" w14:textId="77777777" w:rsidR="00FF0AAF" w:rsidRDefault="00FF0AAF" w:rsidP="00FF0AAF">
      <w:r>
        <w:separator/>
      </w:r>
    </w:p>
  </w:endnote>
  <w:endnote w:type="continuationSeparator" w:id="0">
    <w:p w14:paraId="567FDEFD" w14:textId="77777777" w:rsidR="00FF0AAF" w:rsidRDefault="00FF0AAF" w:rsidP="00F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223189"/>
      <w:docPartObj>
        <w:docPartGallery w:val="Page Numbers (Bottom of Page)"/>
        <w:docPartUnique/>
      </w:docPartObj>
    </w:sdtPr>
    <w:sdtEndPr/>
    <w:sdtContent>
      <w:sdt>
        <w:sdtPr>
          <w:id w:val="1728636285"/>
          <w:docPartObj>
            <w:docPartGallery w:val="Page Numbers (Top of Page)"/>
            <w:docPartUnique/>
          </w:docPartObj>
        </w:sdtPr>
        <w:sdtEndPr/>
        <w:sdtContent>
          <w:p w14:paraId="7B1F422A" w14:textId="77777777" w:rsidR="00FF0AAF" w:rsidRDefault="00FF0A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E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E5C">
              <w:rPr>
                <w:b/>
                <w:bCs/>
                <w:noProof/>
              </w:rPr>
              <w:t>1</w:t>
            </w:r>
            <w:r>
              <w:rPr>
                <w:b/>
                <w:bCs/>
                <w:sz w:val="24"/>
                <w:szCs w:val="24"/>
              </w:rPr>
              <w:fldChar w:fldCharType="end"/>
            </w:r>
          </w:p>
        </w:sdtContent>
      </w:sdt>
    </w:sdtContent>
  </w:sdt>
  <w:p w14:paraId="793A4C6D" w14:textId="77777777" w:rsidR="00FF0AAF" w:rsidRDefault="00FF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A58C" w14:textId="77777777" w:rsidR="00FF0AAF" w:rsidRDefault="00FF0AAF" w:rsidP="00FF0AAF">
      <w:r>
        <w:separator/>
      </w:r>
    </w:p>
  </w:footnote>
  <w:footnote w:type="continuationSeparator" w:id="0">
    <w:p w14:paraId="759A58FC" w14:textId="77777777" w:rsidR="00FF0AAF" w:rsidRDefault="00FF0AAF" w:rsidP="00FF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47B5D"/>
    <w:rsid w:val="00053D06"/>
    <w:rsid w:val="000D008E"/>
    <w:rsid w:val="000D29D6"/>
    <w:rsid w:val="001235A2"/>
    <w:rsid w:val="00172533"/>
    <w:rsid w:val="00366A01"/>
    <w:rsid w:val="003C7A38"/>
    <w:rsid w:val="003F411F"/>
    <w:rsid w:val="0048717B"/>
    <w:rsid w:val="00533279"/>
    <w:rsid w:val="005379B2"/>
    <w:rsid w:val="00554BCD"/>
    <w:rsid w:val="005C50AE"/>
    <w:rsid w:val="006375C4"/>
    <w:rsid w:val="006A033B"/>
    <w:rsid w:val="006A31AE"/>
    <w:rsid w:val="006A730F"/>
    <w:rsid w:val="007830BB"/>
    <w:rsid w:val="007B039F"/>
    <w:rsid w:val="007F7AC8"/>
    <w:rsid w:val="00891FF3"/>
    <w:rsid w:val="008E608B"/>
    <w:rsid w:val="00930731"/>
    <w:rsid w:val="00A261AE"/>
    <w:rsid w:val="00A80044"/>
    <w:rsid w:val="00B0454F"/>
    <w:rsid w:val="00C51025"/>
    <w:rsid w:val="00C91E5C"/>
    <w:rsid w:val="00CE3CDD"/>
    <w:rsid w:val="00D62FA8"/>
    <w:rsid w:val="00DA0B67"/>
    <w:rsid w:val="00DE4876"/>
    <w:rsid w:val="00E132CD"/>
    <w:rsid w:val="00FF0AA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EA3B1"/>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6A01"/>
    <w:pPr>
      <w:keepNext/>
      <w:jc w:val="center"/>
      <w:outlineLvl w:val="0"/>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33"/>
    <w:rPr>
      <w:rFonts w:ascii="Segoe UI" w:hAnsi="Segoe UI" w:cs="Segoe UI"/>
      <w:sz w:val="18"/>
      <w:szCs w:val="18"/>
    </w:rPr>
  </w:style>
  <w:style w:type="paragraph" w:styleId="Header">
    <w:name w:val="header"/>
    <w:basedOn w:val="Normal"/>
    <w:link w:val="HeaderChar"/>
    <w:uiPriority w:val="99"/>
    <w:unhideWhenUsed/>
    <w:rsid w:val="00FF0AAF"/>
    <w:pPr>
      <w:tabs>
        <w:tab w:val="center" w:pos="4680"/>
        <w:tab w:val="right" w:pos="9360"/>
      </w:tabs>
    </w:pPr>
  </w:style>
  <w:style w:type="character" w:customStyle="1" w:styleId="HeaderChar">
    <w:name w:val="Header Char"/>
    <w:basedOn w:val="DefaultParagraphFont"/>
    <w:link w:val="Header"/>
    <w:uiPriority w:val="99"/>
    <w:rsid w:val="00FF0AAF"/>
  </w:style>
  <w:style w:type="paragraph" w:styleId="Footer">
    <w:name w:val="footer"/>
    <w:basedOn w:val="Normal"/>
    <w:link w:val="FooterChar"/>
    <w:uiPriority w:val="99"/>
    <w:unhideWhenUsed/>
    <w:rsid w:val="00FF0AAF"/>
    <w:pPr>
      <w:tabs>
        <w:tab w:val="center" w:pos="4680"/>
        <w:tab w:val="right" w:pos="9360"/>
      </w:tabs>
    </w:pPr>
  </w:style>
  <w:style w:type="character" w:customStyle="1" w:styleId="FooterChar">
    <w:name w:val="Footer Char"/>
    <w:basedOn w:val="DefaultParagraphFont"/>
    <w:link w:val="Footer"/>
    <w:uiPriority w:val="99"/>
    <w:rsid w:val="00FF0AAF"/>
  </w:style>
  <w:style w:type="paragraph" w:styleId="BodyText2">
    <w:name w:val="Body Text 2"/>
    <w:basedOn w:val="Normal"/>
    <w:link w:val="BodyText2Char"/>
    <w:uiPriority w:val="99"/>
    <w:semiHidden/>
    <w:unhideWhenUsed/>
    <w:rsid w:val="00366A01"/>
    <w:pPr>
      <w:spacing w:after="120" w:line="480" w:lineRule="auto"/>
    </w:pPr>
  </w:style>
  <w:style w:type="character" w:customStyle="1" w:styleId="BodyText2Char">
    <w:name w:val="Body Text 2 Char"/>
    <w:basedOn w:val="DefaultParagraphFont"/>
    <w:link w:val="BodyText2"/>
    <w:uiPriority w:val="99"/>
    <w:semiHidden/>
    <w:rsid w:val="00366A01"/>
  </w:style>
  <w:style w:type="character" w:customStyle="1" w:styleId="Heading1Char">
    <w:name w:val="Heading 1 Char"/>
    <w:basedOn w:val="DefaultParagraphFont"/>
    <w:link w:val="Heading1"/>
    <w:rsid w:val="00366A01"/>
    <w:rPr>
      <w:rFonts w:ascii="CG Omega" w:hAnsi="CG Omeg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Template>
  <TotalTime>54</TotalTime>
  <Pages>2</Pages>
  <Words>493</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Stephen.Cady@milwaukeecountywi.gov</dc:creator>
  <cp:keywords/>
  <cp:lastModifiedBy>Cady, Steve</cp:lastModifiedBy>
  <cp:revision>7</cp:revision>
  <cp:lastPrinted>2016-09-22T17:46:00Z</cp:lastPrinted>
  <dcterms:created xsi:type="dcterms:W3CDTF">2021-03-18T17:42:00Z</dcterms:created>
  <dcterms:modified xsi:type="dcterms:W3CDTF">2021-03-18T19:01:00Z</dcterms:modified>
</cp:coreProperties>
</file>