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A7F7" w14:textId="24DA42F9" w:rsidR="00C1261F" w:rsidRDefault="00954754" w:rsidP="00EF3F5E">
      <w:pPr>
        <w:pStyle w:val="ListParagraph"/>
        <w:spacing w:after="0" w:line="240" w:lineRule="auto"/>
        <w:ind w:left="0"/>
      </w:pPr>
      <w:bookmarkStart w:id="0" w:name="_GoBack"/>
      <w:bookmarkEnd w:id="0"/>
      <w:r>
        <w:tab/>
      </w:r>
      <w:r>
        <w:tab/>
      </w:r>
      <w:r w:rsidR="00AB274B">
        <w:tab/>
      </w:r>
      <w:r w:rsidR="00AB274B">
        <w:tab/>
      </w:r>
      <w:r w:rsidR="00AB274B">
        <w:tab/>
      </w:r>
      <w:r w:rsidR="00AB274B">
        <w:tab/>
      </w:r>
      <w:r w:rsidR="007C4E30">
        <w:tab/>
      </w:r>
      <w:r w:rsidR="007C4E30">
        <w:tab/>
      </w:r>
      <w:r w:rsidR="00D4331A">
        <w:t xml:space="preserve">       </w:t>
      </w:r>
      <w:r w:rsidR="00020535">
        <w:tab/>
      </w:r>
      <w:r w:rsidR="00020535">
        <w:tab/>
        <w:t xml:space="preserve">       </w:t>
      </w:r>
      <w:r w:rsidR="003D10FA">
        <w:t xml:space="preserve">File No. </w:t>
      </w:r>
      <w:r w:rsidR="00780741">
        <w:t>20</w:t>
      </w:r>
      <w:r w:rsidR="00E5619C">
        <w:t>-</w:t>
      </w:r>
      <w:r w:rsidR="00020535">
        <w:t>###</w:t>
      </w:r>
    </w:p>
    <w:p w14:paraId="1A834972" w14:textId="77777777" w:rsidR="00954754" w:rsidRDefault="00954754" w:rsidP="00EF3F5E">
      <w:pPr>
        <w:pStyle w:val="ListParagraph"/>
        <w:spacing w:after="0" w:line="240" w:lineRule="auto"/>
        <w:ind w:left="0"/>
      </w:pPr>
    </w:p>
    <w:p w14:paraId="5022F00C" w14:textId="10111419" w:rsidR="008906C6" w:rsidRDefault="00954754" w:rsidP="00954754">
      <w:pPr>
        <w:pStyle w:val="ListParagraph"/>
        <w:spacing w:after="0" w:line="240" w:lineRule="auto"/>
        <w:ind w:left="0"/>
      </w:pPr>
      <w:r>
        <w:t xml:space="preserve">From the Director, Retirement Plan Services, Department of Human Resources clarifying </w:t>
      </w:r>
      <w:r w:rsidR="0034360D">
        <w:t xml:space="preserve">the Milwaukee County </w:t>
      </w:r>
      <w:r w:rsidR="004A56B4">
        <w:t xml:space="preserve">Code of General </w:t>
      </w:r>
      <w:r w:rsidR="003450B9">
        <w:t xml:space="preserve">Ordinances regarding pension service credit for employees furloughed during the COVID-19 pandemic and </w:t>
      </w:r>
      <w:r>
        <w:t xml:space="preserve">requesting authorization to </w:t>
      </w:r>
      <w:r w:rsidR="003450B9">
        <w:t>amend Chapters 201.24(2.7), 201.24(2.9), and 201.24(8.7) of the Milwaukee County Code of General Ordinances to reflect these changes</w:t>
      </w:r>
      <w:r w:rsidR="00A65271">
        <w:t xml:space="preserve">, by recommending adoption of the following: </w:t>
      </w:r>
    </w:p>
    <w:p w14:paraId="7FDF7933" w14:textId="77777777" w:rsidR="00954754" w:rsidRDefault="00954754" w:rsidP="00954754">
      <w:pPr>
        <w:pStyle w:val="ListParagraph"/>
        <w:spacing w:after="0" w:line="240" w:lineRule="auto"/>
        <w:ind w:left="0"/>
      </w:pPr>
    </w:p>
    <w:p w14:paraId="1BDF3BD7" w14:textId="1EB00B84" w:rsidR="003450B9" w:rsidRPr="00954754" w:rsidRDefault="00954754" w:rsidP="00EF3F5E">
      <w:pPr>
        <w:pStyle w:val="ListParagraph"/>
        <w:spacing w:after="0" w:line="240" w:lineRule="auto"/>
        <w:ind w:left="0"/>
        <w:jc w:val="center"/>
        <w:rPr>
          <w:b/>
        </w:rPr>
      </w:pPr>
      <w:r w:rsidRPr="00954754">
        <w:rPr>
          <w:b/>
        </w:rPr>
        <w:t>A RESOLUTION/ORDINANCE</w:t>
      </w:r>
    </w:p>
    <w:p w14:paraId="60CE63FB" w14:textId="77777777" w:rsidR="003450B9" w:rsidRDefault="003450B9" w:rsidP="00EF3F5E">
      <w:pPr>
        <w:pStyle w:val="ListParagraph"/>
        <w:spacing w:after="0" w:line="240" w:lineRule="auto"/>
        <w:ind w:left="0"/>
        <w:jc w:val="center"/>
      </w:pPr>
    </w:p>
    <w:p w14:paraId="0C5E03B7" w14:textId="322FF653" w:rsidR="003450B9" w:rsidRDefault="003450B9" w:rsidP="003450B9">
      <w:pPr>
        <w:pStyle w:val="ListParagraph"/>
        <w:spacing w:after="0" w:line="240" w:lineRule="auto"/>
        <w:ind w:left="0"/>
      </w:pPr>
      <w:r>
        <w:tab/>
        <w:t xml:space="preserve">WHEREAS, beginning in March 2020, many Milwaukee County employees were </w:t>
      </w:r>
      <w:r w:rsidR="00A81AB0">
        <w:t xml:space="preserve">indefinitely or intermittently </w:t>
      </w:r>
      <w:r>
        <w:t>furloughed due to the effects of the COVID-19 pandemic; and</w:t>
      </w:r>
    </w:p>
    <w:p w14:paraId="018FBDD0" w14:textId="77777777" w:rsidR="003450B9" w:rsidRDefault="003450B9" w:rsidP="003450B9">
      <w:pPr>
        <w:pStyle w:val="ListParagraph"/>
        <w:spacing w:after="0" w:line="240" w:lineRule="auto"/>
        <w:ind w:left="0"/>
      </w:pPr>
    </w:p>
    <w:p w14:paraId="547C3DFC" w14:textId="3A3E01F4" w:rsidR="003450B9" w:rsidRDefault="003450B9" w:rsidP="003450B9">
      <w:pPr>
        <w:pStyle w:val="ListParagraph"/>
        <w:spacing w:after="0" w:line="240" w:lineRule="auto"/>
        <w:ind w:left="0"/>
      </w:pPr>
      <w:r>
        <w:tab/>
        <w:t xml:space="preserve">WHEREAS, employees who were indefinitely or intermittently </w:t>
      </w:r>
      <w:r w:rsidR="008330B3">
        <w:t xml:space="preserve">furloughed have </w:t>
      </w:r>
      <w:r w:rsidR="00A81AB0">
        <w:t xml:space="preserve">accrued </w:t>
      </w:r>
      <w:r w:rsidR="008330B3">
        <w:t>unpaid time, which may affect their pension service credits; and</w:t>
      </w:r>
    </w:p>
    <w:p w14:paraId="17C77573" w14:textId="77777777" w:rsidR="008330B3" w:rsidRDefault="008330B3" w:rsidP="003450B9">
      <w:pPr>
        <w:pStyle w:val="ListParagraph"/>
        <w:spacing w:after="0" w:line="240" w:lineRule="auto"/>
        <w:ind w:left="0"/>
      </w:pPr>
    </w:p>
    <w:p w14:paraId="706E81DA" w14:textId="3ADB9255" w:rsidR="008330B3" w:rsidRDefault="008330B3" w:rsidP="003450B9">
      <w:pPr>
        <w:pStyle w:val="ListParagraph"/>
        <w:spacing w:after="0" w:line="240" w:lineRule="auto"/>
        <w:ind w:left="0"/>
      </w:pPr>
      <w:r>
        <w:tab/>
        <w:t>WHEREAS, an employee’s monthly pension benefit is determined, in part, by how many years of service to Milwaukee County are accrued; and</w:t>
      </w:r>
    </w:p>
    <w:p w14:paraId="3468FDC1" w14:textId="77777777" w:rsidR="008330B3" w:rsidRDefault="008330B3" w:rsidP="003450B9">
      <w:pPr>
        <w:pStyle w:val="ListParagraph"/>
        <w:spacing w:after="0" w:line="240" w:lineRule="auto"/>
        <w:ind w:left="0"/>
      </w:pPr>
    </w:p>
    <w:p w14:paraId="6360B440" w14:textId="3BCF4D18" w:rsidR="008330B3" w:rsidRDefault="008330B3" w:rsidP="003450B9">
      <w:pPr>
        <w:pStyle w:val="ListParagraph"/>
        <w:spacing w:after="0" w:line="240" w:lineRule="auto"/>
        <w:ind w:left="0"/>
      </w:pPr>
      <w:r>
        <w:tab/>
        <w:t xml:space="preserve">WHEREAS, the current Milwaukee County Code of General Ordinances (MCGO) allows </w:t>
      </w:r>
      <w:r w:rsidR="00A81AB0">
        <w:t xml:space="preserve">an employee </w:t>
      </w:r>
      <w:r>
        <w:t xml:space="preserve">one month of unpaid time </w:t>
      </w:r>
      <w:r w:rsidR="00A81AB0">
        <w:t>in a calendar year to still receive a full year of service</w:t>
      </w:r>
      <w:r>
        <w:t>, except in the case of worker’s compensation or military service; and</w:t>
      </w:r>
    </w:p>
    <w:p w14:paraId="5DD8A1A6" w14:textId="77777777" w:rsidR="008330B3" w:rsidRDefault="008330B3" w:rsidP="003450B9">
      <w:pPr>
        <w:pStyle w:val="ListParagraph"/>
        <w:spacing w:after="0" w:line="240" w:lineRule="auto"/>
        <w:ind w:left="0"/>
      </w:pPr>
    </w:p>
    <w:p w14:paraId="32DDB639" w14:textId="5E65A66A" w:rsidR="008330B3" w:rsidRDefault="008330B3" w:rsidP="003450B9">
      <w:pPr>
        <w:pStyle w:val="ListParagraph"/>
        <w:spacing w:after="0" w:line="240" w:lineRule="auto"/>
        <w:ind w:left="0"/>
      </w:pPr>
      <w:r>
        <w:tab/>
        <w:t xml:space="preserve">WHEREAS, some furloughed employees have over one month of unpaid time </w:t>
      </w:r>
      <w:r w:rsidR="00A81AB0">
        <w:t xml:space="preserve">in the current calendar year </w:t>
      </w:r>
      <w:r>
        <w:t>due to the COVID-19 pandemic</w:t>
      </w:r>
      <w:r w:rsidR="00A81AB0">
        <w:t xml:space="preserve"> and may accrue more unpaid time in 2021</w:t>
      </w:r>
      <w:r>
        <w:t>; and</w:t>
      </w:r>
    </w:p>
    <w:p w14:paraId="158858A7" w14:textId="77777777" w:rsidR="008330B3" w:rsidRDefault="008330B3" w:rsidP="003450B9">
      <w:pPr>
        <w:pStyle w:val="ListParagraph"/>
        <w:spacing w:after="0" w:line="240" w:lineRule="auto"/>
        <w:ind w:left="0"/>
      </w:pPr>
    </w:p>
    <w:p w14:paraId="78798F17" w14:textId="6BE54AAC" w:rsidR="008330B3" w:rsidRDefault="008330B3" w:rsidP="003450B9">
      <w:pPr>
        <w:pStyle w:val="ListParagraph"/>
        <w:spacing w:after="0" w:line="240" w:lineRule="auto"/>
        <w:ind w:left="0"/>
      </w:pPr>
      <w:r>
        <w:tab/>
        <w:t xml:space="preserve">WHEREAS, furloughs due to the novel COVID-19 pandemic should not affect an employee’s </w:t>
      </w:r>
      <w:r w:rsidR="00A81AB0">
        <w:t xml:space="preserve">years of service and, as a result, their </w:t>
      </w:r>
      <w:r>
        <w:t>monthly pension benefit; and</w:t>
      </w:r>
    </w:p>
    <w:p w14:paraId="26676F5C" w14:textId="77777777" w:rsidR="00A81AB0" w:rsidRDefault="00A81AB0" w:rsidP="003450B9">
      <w:pPr>
        <w:pStyle w:val="ListParagraph"/>
        <w:spacing w:after="0" w:line="240" w:lineRule="auto"/>
        <w:ind w:left="0"/>
      </w:pPr>
    </w:p>
    <w:p w14:paraId="0BB0BF9C" w14:textId="5E8D7CBA" w:rsidR="00A81AB0" w:rsidRDefault="00A81AB0" w:rsidP="003450B9">
      <w:pPr>
        <w:pStyle w:val="ListParagraph"/>
        <w:spacing w:after="0" w:line="240" w:lineRule="auto"/>
        <w:ind w:left="0"/>
      </w:pPr>
      <w:r>
        <w:tab/>
        <w:t>WHEREAS, an actuarial assessment performed by a Milwaukee County consultant determined that revising the MCGO to allow an exception to the unpaid time rule because of the COVID-19 pandemic will not increase expenses to the Employees’ Retirement System (ERS), but will also not result in any savings to the ERS; and</w:t>
      </w:r>
    </w:p>
    <w:p w14:paraId="2F2E8403" w14:textId="77777777" w:rsidR="005F5F73" w:rsidRDefault="005F5F73" w:rsidP="003450B9">
      <w:pPr>
        <w:pStyle w:val="ListParagraph"/>
        <w:spacing w:after="0" w:line="240" w:lineRule="auto"/>
        <w:ind w:left="0"/>
      </w:pPr>
    </w:p>
    <w:p w14:paraId="6FC59FBF" w14:textId="71BD1CB5" w:rsidR="005F5F73" w:rsidRDefault="005F5F73" w:rsidP="003450B9">
      <w:pPr>
        <w:pStyle w:val="ListParagraph"/>
        <w:spacing w:after="0" w:line="240" w:lineRule="auto"/>
        <w:ind w:left="0"/>
      </w:pPr>
      <w:r>
        <w:tab/>
        <w:t>WHEREAS, the Milwaukee County Office of the Comptroller found that if the County chose not to provide service credit for unpaid hours in excess of one month, there would be negligible savings to the County; and</w:t>
      </w:r>
    </w:p>
    <w:p w14:paraId="57E02806" w14:textId="77777777" w:rsidR="005F5F73" w:rsidRDefault="005F5F73" w:rsidP="003450B9">
      <w:pPr>
        <w:pStyle w:val="ListParagraph"/>
        <w:spacing w:after="0" w:line="240" w:lineRule="auto"/>
        <w:ind w:left="0"/>
      </w:pPr>
    </w:p>
    <w:p w14:paraId="3B8DC57C" w14:textId="3546B47A" w:rsidR="005F5F73" w:rsidRDefault="005F5F73" w:rsidP="003450B9">
      <w:pPr>
        <w:pStyle w:val="ListParagraph"/>
        <w:spacing w:after="0" w:line="240" w:lineRule="auto"/>
        <w:ind w:left="0"/>
      </w:pPr>
      <w:r>
        <w:tab/>
        <w:t>WHEREAS, these changes to the MCGO would not affect any other instances of unpaid time, except for worker’s compensation, military service, and COVID-19 pandemic furloughs, and would not affect the calculation of a Final Average Salary</w:t>
      </w:r>
      <w:r w:rsidR="000074F4">
        <w:t xml:space="preserve"> in determining a monthly pension benefit</w:t>
      </w:r>
      <w:r>
        <w:t>; and</w:t>
      </w:r>
    </w:p>
    <w:p w14:paraId="2391ACD3" w14:textId="77777777" w:rsidR="008330B3" w:rsidRDefault="008330B3" w:rsidP="003450B9">
      <w:pPr>
        <w:pStyle w:val="ListParagraph"/>
        <w:spacing w:after="0" w:line="240" w:lineRule="auto"/>
        <w:ind w:left="0"/>
      </w:pPr>
    </w:p>
    <w:p w14:paraId="1100161D" w14:textId="6FD4CF22" w:rsidR="008330B3" w:rsidRDefault="008330B3" w:rsidP="003450B9">
      <w:pPr>
        <w:pStyle w:val="ListParagraph"/>
        <w:spacing w:after="0" w:line="240" w:lineRule="auto"/>
        <w:ind w:left="0"/>
      </w:pPr>
      <w:r>
        <w:lastRenderedPageBreak/>
        <w:tab/>
        <w:t xml:space="preserve">WHEREAS, changes to the MCGO are necessary in order to ensure that </w:t>
      </w:r>
      <w:r w:rsidR="00A81AB0">
        <w:t>an employee’s years of service to Milwaukee County, which affect their monthly pension benefit, are not impacted by COVID-19 pandemic furloughs</w:t>
      </w:r>
      <w:r>
        <w:t>; now, therefore,</w:t>
      </w:r>
    </w:p>
    <w:p w14:paraId="02D189A5" w14:textId="77777777" w:rsidR="008330B3" w:rsidRDefault="008330B3" w:rsidP="003450B9">
      <w:pPr>
        <w:pStyle w:val="ListParagraph"/>
        <w:spacing w:after="0" w:line="240" w:lineRule="auto"/>
        <w:ind w:left="0"/>
      </w:pPr>
    </w:p>
    <w:p w14:paraId="13960EA0" w14:textId="635189AF" w:rsidR="008330B3" w:rsidRDefault="008330B3" w:rsidP="003450B9">
      <w:pPr>
        <w:pStyle w:val="ListParagraph"/>
        <w:spacing w:after="0" w:line="240" w:lineRule="auto"/>
        <w:ind w:left="0"/>
      </w:pPr>
      <w:r>
        <w:tab/>
        <w:t>BE IT RESOLVED, that Milwaukee County employees who were indefinitely or intermittently furloughed due to the COVID-19 pandemic shall not lose a</w:t>
      </w:r>
      <w:r w:rsidR="00A81AB0">
        <w:t>ny pension</w:t>
      </w:r>
      <w:r>
        <w:t xml:space="preserve"> service credits because of unpaid time; and</w:t>
      </w:r>
    </w:p>
    <w:p w14:paraId="0C3BD338" w14:textId="77777777" w:rsidR="008330B3" w:rsidRDefault="008330B3" w:rsidP="003450B9">
      <w:pPr>
        <w:pStyle w:val="ListParagraph"/>
        <w:spacing w:after="0" w:line="240" w:lineRule="auto"/>
        <w:ind w:left="0"/>
      </w:pPr>
    </w:p>
    <w:p w14:paraId="32249778" w14:textId="00FFB604" w:rsidR="00C17786" w:rsidRDefault="008330B3" w:rsidP="00EF3F5E">
      <w:pPr>
        <w:pStyle w:val="ListParagraph"/>
        <w:spacing w:after="0" w:line="240" w:lineRule="auto"/>
        <w:ind w:left="0"/>
      </w:pPr>
      <w:r>
        <w:tab/>
        <w:t>BE IT FUTHER RESOLVED, that the exceptions to the current one month limit on unpaid time as provided in the Milwaukee County Code of General Ordinances shall be expanded from worker’s compensation and military service to include furloughs during the COVID-19 pandemic; and</w:t>
      </w:r>
      <w:r w:rsidR="00F0747B">
        <w:tab/>
      </w:r>
    </w:p>
    <w:p w14:paraId="20BEF2F0" w14:textId="77777777" w:rsidR="00147000" w:rsidRDefault="00147000" w:rsidP="00EF3F5E">
      <w:pPr>
        <w:pStyle w:val="ListParagraph"/>
        <w:spacing w:after="0" w:line="240" w:lineRule="auto"/>
        <w:ind w:left="0"/>
      </w:pPr>
    </w:p>
    <w:p w14:paraId="663E5D6A" w14:textId="0B5F4688" w:rsidR="00147000" w:rsidRDefault="00147000" w:rsidP="00EF3F5E">
      <w:pPr>
        <w:pStyle w:val="ListParagraph"/>
        <w:spacing w:after="0" w:line="240" w:lineRule="auto"/>
        <w:ind w:left="0" w:firstLine="720"/>
      </w:pPr>
      <w:r>
        <w:t>BE IT FURTHER RESOLVED, that the Milwaukee County Board of Supervisors hereby amends Chapter</w:t>
      </w:r>
      <w:r w:rsidR="00A81AB0">
        <w:t>s</w:t>
      </w:r>
      <w:r>
        <w:t xml:space="preserve"> 201.24</w:t>
      </w:r>
      <w:r w:rsidR="00A81AB0">
        <w:t>(2.7), 201.24(2.9), and 201.24(8.7)</w:t>
      </w:r>
      <w:r>
        <w:t xml:space="preserve"> of the Milwaukee County Code of General Ordinances by adoption of the following:</w:t>
      </w:r>
    </w:p>
    <w:p w14:paraId="0192A5B8" w14:textId="77777777" w:rsidR="00147000" w:rsidRDefault="00147000" w:rsidP="00EF3F5E"/>
    <w:p w14:paraId="71EC4122" w14:textId="77777777" w:rsidR="00147000" w:rsidRDefault="00147000" w:rsidP="00EF3F5E"/>
    <w:p w14:paraId="0F8BA586" w14:textId="77777777" w:rsidR="00147000" w:rsidRPr="00AD7623" w:rsidRDefault="00147000" w:rsidP="00EF3F5E">
      <w:pPr>
        <w:jc w:val="center"/>
        <w:rPr>
          <w:b/>
        </w:rPr>
      </w:pPr>
      <w:r w:rsidRPr="00AD7623">
        <w:rPr>
          <w:b/>
        </w:rPr>
        <w:t>AN ORDINANCE</w:t>
      </w:r>
    </w:p>
    <w:p w14:paraId="7B59C18B" w14:textId="77777777" w:rsidR="00147000" w:rsidRDefault="00147000" w:rsidP="00EF3F5E">
      <w:pPr>
        <w:jc w:val="center"/>
      </w:pPr>
    </w:p>
    <w:p w14:paraId="3D62F6B8" w14:textId="77777777" w:rsidR="00147000" w:rsidRDefault="00147000" w:rsidP="00EF3F5E">
      <w:r>
        <w:t>The Milwaukee County Board of Supervisors does ordain as follows:</w:t>
      </w:r>
    </w:p>
    <w:p w14:paraId="189FC930" w14:textId="77777777" w:rsidR="00147000" w:rsidRDefault="00147000" w:rsidP="00EF3F5E"/>
    <w:p w14:paraId="44F5EFD5" w14:textId="310CE3F8" w:rsidR="00147000" w:rsidRDefault="00147000" w:rsidP="00EF3F5E">
      <w:pPr>
        <w:contextualSpacing/>
      </w:pPr>
      <w:r w:rsidRPr="00AD7623">
        <w:rPr>
          <w:b/>
        </w:rPr>
        <w:t>Section 1.</w:t>
      </w:r>
      <w:r w:rsidR="00D331E6">
        <w:t xml:space="preserve"> </w:t>
      </w:r>
      <w:r w:rsidRPr="00AD7623">
        <w:t xml:space="preserve">Chapter </w:t>
      </w:r>
      <w:r w:rsidR="00651837">
        <w:t>201.24</w:t>
      </w:r>
      <w:r w:rsidR="00020535">
        <w:t>(2.7)</w:t>
      </w:r>
      <w:r w:rsidRPr="00AD7623">
        <w:t xml:space="preserve"> of the Milwaukee County Code of General Ordinances is hereby amended as follows:</w:t>
      </w:r>
    </w:p>
    <w:p w14:paraId="05A501D5" w14:textId="77777777" w:rsidR="000F53CF" w:rsidRDefault="000F53CF" w:rsidP="00EF3F5E">
      <w:pPr>
        <w:contextualSpacing/>
      </w:pPr>
    </w:p>
    <w:p w14:paraId="16C2E7D8" w14:textId="77777777" w:rsidR="000F53CF" w:rsidRDefault="000F53CF" w:rsidP="00EF3F5E">
      <w:pPr>
        <w:rPr>
          <w:b/>
        </w:rPr>
      </w:pPr>
      <w:r w:rsidRPr="000F53CF">
        <w:rPr>
          <w:b/>
        </w:rPr>
        <w:t xml:space="preserve">2.7. - Earnable compensation. </w:t>
      </w:r>
    </w:p>
    <w:p w14:paraId="43A536DA" w14:textId="77777777" w:rsidR="000F53CF" w:rsidRPr="000F53CF" w:rsidRDefault="000F53CF" w:rsidP="00EF3F5E">
      <w:pPr>
        <w:rPr>
          <w:b/>
        </w:rPr>
      </w:pPr>
    </w:p>
    <w:p w14:paraId="4E450EDA" w14:textId="5C42ABFF" w:rsidR="000F53CF" w:rsidRDefault="000F53CF" w:rsidP="00EF3F5E">
      <w:pPr>
        <w:pStyle w:val="p0"/>
        <w:spacing w:after="0"/>
        <w:rPr>
          <w:sz w:val="24"/>
          <w:szCs w:val="24"/>
        </w:rPr>
      </w:pPr>
      <w:r w:rsidRPr="000F53CF">
        <w:rPr>
          <w:sz w:val="24"/>
          <w:szCs w:val="24"/>
        </w:rPr>
        <w:t xml:space="preserve">Earnable compensation shall mean </w:t>
      </w:r>
      <w:r w:rsidRPr="000F53CF">
        <w:rPr>
          <w:sz w:val="24"/>
          <w:szCs w:val="24"/>
          <w:u w:val="single"/>
        </w:rPr>
        <w:t>gross wages or salary</w:t>
      </w:r>
      <w:r>
        <w:rPr>
          <w:sz w:val="24"/>
          <w:szCs w:val="24"/>
        </w:rPr>
        <w:t xml:space="preserve"> </w:t>
      </w:r>
      <w:r w:rsidRPr="000F53CF">
        <w:rPr>
          <w:strike/>
          <w:sz w:val="24"/>
          <w:szCs w:val="24"/>
        </w:rPr>
        <w:t>total compensation that would be payable</w:t>
      </w:r>
      <w:r>
        <w:rPr>
          <w:sz w:val="24"/>
          <w:szCs w:val="24"/>
        </w:rPr>
        <w:t xml:space="preserve"> </w:t>
      </w:r>
      <w:r w:rsidRPr="000F53CF">
        <w:rPr>
          <w:sz w:val="24"/>
          <w:szCs w:val="24"/>
          <w:u w:val="single"/>
        </w:rPr>
        <w:t>paid to an employee for services rendered in the course of his or her employment</w:t>
      </w:r>
      <w:r w:rsidRPr="000F53CF">
        <w:rPr>
          <w:sz w:val="24"/>
          <w:szCs w:val="24"/>
        </w:rPr>
        <w:t xml:space="preserve"> </w:t>
      </w:r>
      <w:r w:rsidRPr="000F53CF">
        <w:rPr>
          <w:strike/>
          <w:sz w:val="24"/>
          <w:szCs w:val="24"/>
        </w:rPr>
        <w:t>to a member if he/she worked the full normal working time for his/her position</w:t>
      </w:r>
      <w:r w:rsidRPr="000F53CF">
        <w:rPr>
          <w:sz w:val="24"/>
          <w:szCs w:val="24"/>
        </w:rPr>
        <w:t>, plus all payments for authorized overtime but excluding payments in lieu of vacations</w:t>
      </w:r>
      <w:r>
        <w:rPr>
          <w:sz w:val="24"/>
          <w:szCs w:val="24"/>
        </w:rPr>
        <w:t xml:space="preserve"> </w:t>
      </w:r>
      <w:r w:rsidRPr="000F53CF">
        <w:rPr>
          <w:sz w:val="24"/>
          <w:szCs w:val="24"/>
          <w:u w:val="single"/>
        </w:rPr>
        <w:t>and sick leave.</w:t>
      </w:r>
      <w:r w:rsidRPr="000F53CF">
        <w:rPr>
          <w:strike/>
          <w:sz w:val="24"/>
          <w:szCs w:val="24"/>
        </w:rPr>
        <w:t>, provided that w</w:t>
      </w:r>
      <w:r>
        <w:rPr>
          <w:strike/>
          <w:sz w:val="24"/>
          <w:szCs w:val="24"/>
        </w:rPr>
        <w:t xml:space="preserve"> </w:t>
      </w:r>
      <w:r w:rsidRPr="000F53CF">
        <w:rPr>
          <w:sz w:val="24"/>
          <w:szCs w:val="24"/>
          <w:u w:val="single"/>
        </w:rPr>
        <w:t>W</w:t>
      </w:r>
      <w:r w:rsidRPr="000F53CF">
        <w:rPr>
          <w:sz w:val="24"/>
          <w:szCs w:val="24"/>
        </w:rPr>
        <w:t xml:space="preserve">here service is credited during periods of absences </w:t>
      </w:r>
      <w:r w:rsidRPr="000F53CF">
        <w:rPr>
          <w:sz w:val="24"/>
          <w:szCs w:val="24"/>
          <w:u w:val="single"/>
        </w:rPr>
        <w:t>from County employment due to military service as provided in Ordinance section 201.24(2.10) or for absences while receiving Workers Compensation pursuant to State statute for injuries received while in County ERS-covered service</w:t>
      </w:r>
      <w:r>
        <w:rPr>
          <w:sz w:val="24"/>
          <w:szCs w:val="24"/>
        </w:rPr>
        <w:t xml:space="preserve"> </w:t>
      </w:r>
      <w:r w:rsidRPr="000F53CF">
        <w:rPr>
          <w:strike/>
          <w:sz w:val="24"/>
          <w:szCs w:val="24"/>
        </w:rPr>
        <w:t>as provided in section 2.9 hereof</w:t>
      </w:r>
      <w:r w:rsidRPr="000F53CF">
        <w:rPr>
          <w:sz w:val="24"/>
          <w:szCs w:val="24"/>
        </w:rPr>
        <w:t xml:space="preserve">, the </w:t>
      </w:r>
      <w:proofErr w:type="spellStart"/>
      <w:r w:rsidRPr="000F53CF">
        <w:rPr>
          <w:sz w:val="24"/>
          <w:szCs w:val="24"/>
        </w:rPr>
        <w:t>employe</w:t>
      </w:r>
      <w:proofErr w:type="spellEnd"/>
      <w:r w:rsidRPr="000F53CF">
        <w:rPr>
          <w:sz w:val="24"/>
          <w:szCs w:val="24"/>
        </w:rPr>
        <w:t xml:space="preserve"> shall be considered to have earnable compensation during such periods of absence </w:t>
      </w:r>
      <w:r w:rsidRPr="000F53CF">
        <w:rPr>
          <w:sz w:val="24"/>
          <w:szCs w:val="24"/>
          <w:u w:val="single"/>
        </w:rPr>
        <w:t>as if the employee had continued to work in his or her position</w:t>
      </w:r>
      <w:r>
        <w:rPr>
          <w:sz w:val="24"/>
          <w:szCs w:val="24"/>
        </w:rPr>
        <w:t xml:space="preserve"> </w:t>
      </w:r>
      <w:r w:rsidRPr="000F53CF">
        <w:rPr>
          <w:strike/>
          <w:sz w:val="24"/>
          <w:szCs w:val="24"/>
        </w:rPr>
        <w:t>equivalent to his/her earnable compensation as of the last month of employment prior to the beginning of such absences</w:t>
      </w:r>
      <w:r w:rsidRPr="000F53CF">
        <w:rPr>
          <w:sz w:val="24"/>
          <w:szCs w:val="24"/>
        </w:rPr>
        <w:t xml:space="preserve">. In cases where compensation includes maintenance, the </w:t>
      </w:r>
      <w:r w:rsidR="00EF3F5E" w:rsidRPr="00EF3F5E">
        <w:rPr>
          <w:sz w:val="24"/>
          <w:szCs w:val="24"/>
          <w:u w:val="single"/>
        </w:rPr>
        <w:t>Pension</w:t>
      </w:r>
      <w:r w:rsidR="00EF3F5E">
        <w:rPr>
          <w:sz w:val="24"/>
          <w:szCs w:val="24"/>
        </w:rPr>
        <w:t xml:space="preserve"> </w:t>
      </w:r>
      <w:proofErr w:type="spellStart"/>
      <w:r w:rsidRPr="00EF3F5E">
        <w:rPr>
          <w:strike/>
          <w:sz w:val="24"/>
          <w:szCs w:val="24"/>
        </w:rPr>
        <w:t>b</w:t>
      </w:r>
      <w:r w:rsidR="00EF3F5E" w:rsidRPr="00EF3F5E">
        <w:rPr>
          <w:sz w:val="24"/>
          <w:szCs w:val="24"/>
          <w:u w:val="single"/>
        </w:rPr>
        <w:t>B</w:t>
      </w:r>
      <w:r w:rsidRPr="000F53CF">
        <w:rPr>
          <w:sz w:val="24"/>
          <w:szCs w:val="24"/>
        </w:rPr>
        <w:t>oard</w:t>
      </w:r>
      <w:proofErr w:type="spellEnd"/>
      <w:r w:rsidRPr="000F53CF">
        <w:rPr>
          <w:sz w:val="24"/>
          <w:szCs w:val="24"/>
        </w:rPr>
        <w:t xml:space="preserve"> shall fix the value of that portion of the compensation not payable in money. Where the county pays less than the full rate of compensation for a position and the balance is payable by some other government, company or individual, the amount paid by the county shall be considered the </w:t>
      </w:r>
      <w:r w:rsidRPr="00EF3F5E">
        <w:rPr>
          <w:strike/>
          <w:sz w:val="24"/>
          <w:szCs w:val="24"/>
        </w:rPr>
        <w:t>e</w:t>
      </w:r>
      <w:r w:rsidR="00EF3F5E">
        <w:rPr>
          <w:strike/>
          <w:sz w:val="24"/>
          <w:szCs w:val="24"/>
        </w:rPr>
        <w:t xml:space="preserve"> </w:t>
      </w:r>
      <w:r w:rsidR="00EF3F5E" w:rsidRPr="00EF3F5E">
        <w:rPr>
          <w:sz w:val="24"/>
          <w:szCs w:val="24"/>
          <w:u w:val="single"/>
        </w:rPr>
        <w:t>E</w:t>
      </w:r>
      <w:r w:rsidRPr="000F53CF">
        <w:rPr>
          <w:sz w:val="24"/>
          <w:szCs w:val="24"/>
        </w:rPr>
        <w:t xml:space="preserve">arnable </w:t>
      </w:r>
      <w:r w:rsidRPr="00EF3F5E">
        <w:rPr>
          <w:strike/>
          <w:sz w:val="24"/>
          <w:szCs w:val="24"/>
        </w:rPr>
        <w:t>c</w:t>
      </w:r>
      <w:r w:rsidR="00EF3F5E">
        <w:rPr>
          <w:strike/>
          <w:sz w:val="24"/>
          <w:szCs w:val="24"/>
        </w:rPr>
        <w:t xml:space="preserve"> </w:t>
      </w:r>
      <w:r w:rsidR="00EF3F5E" w:rsidRPr="00EF3F5E">
        <w:rPr>
          <w:sz w:val="24"/>
          <w:szCs w:val="24"/>
          <w:u w:val="single"/>
        </w:rPr>
        <w:t>C</w:t>
      </w:r>
      <w:r w:rsidRPr="000F53CF">
        <w:rPr>
          <w:sz w:val="24"/>
          <w:szCs w:val="24"/>
        </w:rPr>
        <w:t>ompensation for such period of service</w:t>
      </w:r>
      <w:r w:rsidR="00EF3F5E" w:rsidRPr="00EF3F5E">
        <w:rPr>
          <w:sz w:val="24"/>
          <w:szCs w:val="24"/>
          <w:u w:val="single"/>
        </w:rPr>
        <w:t xml:space="preserve">, except Earnable Compensation shall also include amounts paid by the State for employees described in Ordinance section 201.24(2.4) who are regularly employed by the State but who were previously </w:t>
      </w:r>
      <w:r w:rsidR="00EF3F5E" w:rsidRPr="00EF3F5E">
        <w:rPr>
          <w:sz w:val="24"/>
          <w:szCs w:val="24"/>
          <w:u w:val="single"/>
        </w:rPr>
        <w:lastRenderedPageBreak/>
        <w:t>employed by the County and who has, pursuant to State statute, continued to be a member of ERS</w:t>
      </w:r>
      <w:r w:rsidRPr="000F53CF">
        <w:rPr>
          <w:sz w:val="24"/>
          <w:szCs w:val="24"/>
        </w:rPr>
        <w:t>. The annual earnable compensation of each member taken into account for determining all benefits provided under the system for any year shall not exceed the annual compensation limit pursuant to Internal Revenue Code section 401(a)(17); provided, however, that this limitation shall apply only with respect to members who first commence participation in the system after 1995. The annual compensation limit shall be adjusted annually for increases in the cost of living by the Secretary of the Treasury or his/her delegate, except that the dollar increase in effect on January 1 of any calendar year is effective for years beginning in such calendar year. The "annual compensation limit" is two hundred thousand dol</w:t>
      </w:r>
      <w:r w:rsidR="00EF3F5E">
        <w:rPr>
          <w:sz w:val="24"/>
          <w:szCs w:val="24"/>
        </w:rPr>
        <w:t>lars ($200,000.00), as indexed.</w:t>
      </w:r>
    </w:p>
    <w:p w14:paraId="2148F6F6" w14:textId="77777777" w:rsidR="00EF3F5E" w:rsidRDefault="00EF3F5E" w:rsidP="00EF3F5E">
      <w:pPr>
        <w:pStyle w:val="p0"/>
        <w:spacing w:after="0"/>
        <w:rPr>
          <w:sz w:val="24"/>
          <w:szCs w:val="24"/>
        </w:rPr>
      </w:pPr>
    </w:p>
    <w:p w14:paraId="5BB8DC3C" w14:textId="77777777" w:rsidR="00EF3F5E" w:rsidRPr="000F53CF" w:rsidRDefault="00EF3F5E" w:rsidP="00EF3F5E">
      <w:pPr>
        <w:pStyle w:val="p0"/>
        <w:spacing w:after="0"/>
        <w:rPr>
          <w:sz w:val="24"/>
          <w:szCs w:val="24"/>
        </w:rPr>
        <w:sectPr w:rsidR="00EF3F5E" w:rsidRPr="000F53CF" w:rsidSect="000F53CF">
          <w:type w:val="continuous"/>
          <w:pgSz w:w="12240" w:h="15840"/>
          <w:pgMar w:top="1440" w:right="720" w:bottom="1440" w:left="2160" w:header="720" w:footer="720" w:gutter="0"/>
          <w:lnNumType w:countBy="1" w:restart="continuous"/>
          <w:cols w:space="720"/>
          <w:docGrid w:linePitch="326"/>
        </w:sectPr>
      </w:pPr>
    </w:p>
    <w:p w14:paraId="0D8531DA" w14:textId="096FB895" w:rsidR="008A5ED8" w:rsidRDefault="00147000" w:rsidP="00EF3F5E">
      <w:pPr>
        <w:shd w:val="clear" w:color="auto" w:fill="FFFFFF"/>
      </w:pPr>
      <w:r w:rsidRPr="00F355A0">
        <w:rPr>
          <w:b/>
        </w:rPr>
        <w:t>Section 2.</w:t>
      </w:r>
      <w:r w:rsidRPr="00F355A0">
        <w:t xml:space="preserve"> </w:t>
      </w:r>
      <w:r w:rsidR="00EF3F5E" w:rsidRPr="00AD7623">
        <w:t xml:space="preserve">Chapter </w:t>
      </w:r>
      <w:r w:rsidR="00651837">
        <w:t>201.24</w:t>
      </w:r>
      <w:r w:rsidR="00EF3F5E">
        <w:t>(2.9)</w:t>
      </w:r>
      <w:r w:rsidR="00EF3F5E" w:rsidRPr="00AD7623">
        <w:t xml:space="preserve"> of the Milwaukee County Code of General Ordinances is hereby amended as follows:</w:t>
      </w:r>
    </w:p>
    <w:p w14:paraId="73FE7FD2" w14:textId="77777777" w:rsidR="00EF3F5E" w:rsidRDefault="00EF3F5E" w:rsidP="00EF3F5E">
      <w:pPr>
        <w:shd w:val="clear" w:color="auto" w:fill="FFFFFF"/>
      </w:pPr>
    </w:p>
    <w:p w14:paraId="4FEC5BE6" w14:textId="77777777" w:rsidR="00EF3F5E" w:rsidRDefault="00EF3F5E" w:rsidP="00EF3F5E">
      <w:pPr>
        <w:contextualSpacing/>
        <w:rPr>
          <w:b/>
        </w:rPr>
      </w:pPr>
      <w:r w:rsidRPr="00EF3F5E">
        <w:rPr>
          <w:b/>
        </w:rPr>
        <w:t xml:space="preserve">2.9. - Service. </w:t>
      </w:r>
    </w:p>
    <w:p w14:paraId="199B741E" w14:textId="77777777" w:rsidR="00EF3F5E" w:rsidRPr="00EF3F5E" w:rsidRDefault="00EF3F5E" w:rsidP="00EF3F5E">
      <w:pPr>
        <w:contextualSpacing/>
        <w:rPr>
          <w:b/>
        </w:rPr>
      </w:pPr>
    </w:p>
    <w:p w14:paraId="2F375D42" w14:textId="6796F9FE" w:rsidR="00EF3F5E" w:rsidRDefault="00EF3F5E" w:rsidP="00651837">
      <w:pPr>
        <w:pStyle w:val="p0"/>
        <w:contextualSpacing/>
        <w:rPr>
          <w:sz w:val="24"/>
          <w:szCs w:val="24"/>
        </w:rPr>
      </w:pPr>
      <w:r w:rsidRPr="00EF3F5E">
        <w:rPr>
          <w:sz w:val="24"/>
          <w:szCs w:val="24"/>
        </w:rPr>
        <w:t xml:space="preserve">Service shall mean service as an </w:t>
      </w:r>
      <w:proofErr w:type="spellStart"/>
      <w:r w:rsidRPr="00EF3F5E">
        <w:rPr>
          <w:sz w:val="24"/>
          <w:szCs w:val="24"/>
        </w:rPr>
        <w:t>employe</w:t>
      </w:r>
      <w:proofErr w:type="spellEnd"/>
      <w:r w:rsidRPr="00EF3F5E">
        <w:rPr>
          <w:sz w:val="24"/>
          <w:szCs w:val="24"/>
        </w:rPr>
        <w:t xml:space="preserve"> of the county or of any municipal subdivision of the county in departments the operation of which is taken over by the county</w:t>
      </w:r>
      <w:r w:rsidRPr="00EF3F5E">
        <w:rPr>
          <w:sz w:val="24"/>
          <w:szCs w:val="24"/>
          <w:u w:val="single"/>
        </w:rPr>
        <w:t>, provided such employee is a member of the System as defined by Pension Board Rules 202, 203, and 204</w:t>
      </w:r>
      <w:r w:rsidRPr="00EF3F5E">
        <w:rPr>
          <w:sz w:val="24"/>
          <w:szCs w:val="24"/>
        </w:rPr>
        <w:t xml:space="preserve">. Service shall also include any period of </w:t>
      </w:r>
      <w:r w:rsidRPr="00EF3F5E">
        <w:rPr>
          <w:sz w:val="24"/>
          <w:szCs w:val="24"/>
          <w:u w:val="single"/>
        </w:rPr>
        <w:t>service provided for in Ordinance section 201.24(8.7)</w:t>
      </w:r>
      <w:r>
        <w:rPr>
          <w:sz w:val="24"/>
          <w:szCs w:val="24"/>
        </w:rPr>
        <w:t xml:space="preserve"> </w:t>
      </w:r>
      <w:r w:rsidRPr="00EF3F5E">
        <w:rPr>
          <w:strike/>
          <w:sz w:val="24"/>
          <w:szCs w:val="24"/>
        </w:rPr>
        <w:t>military service recognized hereunder</w:t>
      </w:r>
      <w:r w:rsidRPr="00EF3F5E">
        <w:rPr>
          <w:sz w:val="24"/>
          <w:szCs w:val="24"/>
        </w:rPr>
        <w:t xml:space="preserve">; any period of employment by the county or in any department of any town, village, city or metropolitan sewerage commission in the county, which has been absorbed by the county, prior to January 1, 1938; any period of continuous employment with the City of Milwaukee which terminated between September 1 and December 31, 1937; and any prior service granted to new members brought into the system by any amendment effective subsequent to January 1, 1938. </w:t>
      </w:r>
    </w:p>
    <w:p w14:paraId="0A4BDF94" w14:textId="77777777" w:rsidR="00651837" w:rsidRDefault="00651837" w:rsidP="00651837">
      <w:pPr>
        <w:pStyle w:val="p0"/>
        <w:ind w:firstLine="0"/>
        <w:contextualSpacing/>
        <w:rPr>
          <w:sz w:val="24"/>
          <w:szCs w:val="24"/>
        </w:rPr>
      </w:pPr>
    </w:p>
    <w:p w14:paraId="5A1340E1" w14:textId="77777777" w:rsidR="00651837" w:rsidRPr="00651837" w:rsidRDefault="00651837" w:rsidP="00651837">
      <w:pPr>
        <w:pStyle w:val="p0"/>
        <w:ind w:firstLine="0"/>
        <w:contextualSpacing/>
        <w:rPr>
          <w:sz w:val="24"/>
          <w:szCs w:val="24"/>
        </w:rPr>
      </w:pPr>
      <w:r w:rsidRPr="003450B9">
        <w:rPr>
          <w:b/>
          <w:sz w:val="24"/>
          <w:szCs w:val="24"/>
        </w:rPr>
        <w:t>Section 3.</w:t>
      </w:r>
      <w:r w:rsidRPr="00651837">
        <w:rPr>
          <w:sz w:val="24"/>
          <w:szCs w:val="24"/>
        </w:rPr>
        <w:t xml:space="preserve"> Chapter 201.24(8.7) of the Milwaukee County Code of General Ordinances is hereby amended as follows:</w:t>
      </w:r>
    </w:p>
    <w:p w14:paraId="41CE96FA" w14:textId="77777777" w:rsidR="00651837" w:rsidRPr="00651837" w:rsidRDefault="00651837" w:rsidP="00651837">
      <w:pPr>
        <w:pStyle w:val="p0"/>
        <w:ind w:firstLine="0"/>
        <w:contextualSpacing/>
        <w:rPr>
          <w:sz w:val="24"/>
          <w:szCs w:val="24"/>
        </w:rPr>
      </w:pPr>
    </w:p>
    <w:p w14:paraId="2702A4AB" w14:textId="2ABD95FF" w:rsidR="00651837" w:rsidRDefault="00651837" w:rsidP="00651837">
      <w:pPr>
        <w:pStyle w:val="p0"/>
        <w:numPr>
          <w:ilvl w:val="0"/>
          <w:numId w:val="15"/>
        </w:numPr>
        <w:contextualSpacing/>
        <w:rPr>
          <w:sz w:val="24"/>
          <w:szCs w:val="24"/>
        </w:rPr>
      </w:pPr>
      <w:r w:rsidRPr="00651837">
        <w:rPr>
          <w:sz w:val="24"/>
          <w:szCs w:val="24"/>
        </w:rPr>
        <w:t>The board shall fix and determine by appropriate rules and regulations how much service in any year is equivalent to one (1) year of service, but in no case shall more than one (1) year of service be creditable for all service in one (1) calendar year</w:t>
      </w:r>
      <w:r w:rsidRPr="00651837">
        <w:rPr>
          <w:sz w:val="24"/>
          <w:szCs w:val="24"/>
          <w:u w:val="single"/>
        </w:rPr>
        <w:t>.</w:t>
      </w:r>
      <w:r w:rsidRPr="00651837">
        <w:rPr>
          <w:strike/>
          <w:sz w:val="24"/>
          <w:szCs w:val="24"/>
        </w:rPr>
        <w:t>, nor in any case shall the board allow</w:t>
      </w:r>
      <w:r w:rsidRPr="00651837">
        <w:rPr>
          <w:sz w:val="24"/>
          <w:szCs w:val="24"/>
        </w:rPr>
        <w:t xml:space="preserve"> </w:t>
      </w:r>
      <w:r w:rsidRPr="00651837">
        <w:rPr>
          <w:sz w:val="24"/>
          <w:szCs w:val="24"/>
          <w:u w:val="single"/>
        </w:rPr>
        <w:t>Members shall not accrue</w:t>
      </w:r>
      <w:r>
        <w:rPr>
          <w:sz w:val="24"/>
          <w:szCs w:val="24"/>
        </w:rPr>
        <w:t xml:space="preserve"> </w:t>
      </w:r>
      <w:r w:rsidRPr="00651837">
        <w:rPr>
          <w:sz w:val="24"/>
          <w:szCs w:val="24"/>
        </w:rPr>
        <w:t xml:space="preserve">credit as service for any period of more than one (1) month's duration during which the </w:t>
      </w:r>
      <w:proofErr w:type="spellStart"/>
      <w:r w:rsidRPr="00651837">
        <w:rPr>
          <w:sz w:val="24"/>
          <w:szCs w:val="24"/>
        </w:rPr>
        <w:t>employe</w:t>
      </w:r>
      <w:proofErr w:type="spellEnd"/>
      <w:r w:rsidRPr="00651837">
        <w:rPr>
          <w:sz w:val="24"/>
          <w:szCs w:val="24"/>
        </w:rPr>
        <w:t xml:space="preserve"> was absent without </w:t>
      </w:r>
      <w:r w:rsidRPr="003450B9">
        <w:rPr>
          <w:strike/>
          <w:sz w:val="24"/>
          <w:szCs w:val="24"/>
        </w:rPr>
        <w:t>pay</w:t>
      </w:r>
      <w:r w:rsidR="003450B9">
        <w:rPr>
          <w:sz w:val="24"/>
          <w:szCs w:val="24"/>
        </w:rPr>
        <w:t xml:space="preserve"> </w:t>
      </w:r>
      <w:r w:rsidR="003450B9" w:rsidRPr="003450B9">
        <w:rPr>
          <w:sz w:val="24"/>
          <w:szCs w:val="24"/>
          <w:u w:val="single"/>
        </w:rPr>
        <w:t>Earnable Compensation, except under subsections (b), (c), and (d) of this section 8.7</w:t>
      </w:r>
      <w:r w:rsidRPr="00651837">
        <w:rPr>
          <w:sz w:val="24"/>
          <w:szCs w:val="24"/>
        </w:rPr>
        <w:t xml:space="preserve">. </w:t>
      </w:r>
    </w:p>
    <w:p w14:paraId="2CAEE8B9" w14:textId="77777777" w:rsidR="003450B9" w:rsidRPr="00651837" w:rsidRDefault="003450B9" w:rsidP="003450B9">
      <w:pPr>
        <w:pStyle w:val="p0"/>
        <w:ind w:left="720" w:firstLine="0"/>
        <w:contextualSpacing/>
        <w:rPr>
          <w:sz w:val="24"/>
          <w:szCs w:val="24"/>
        </w:rPr>
      </w:pPr>
    </w:p>
    <w:p w14:paraId="7E57675C" w14:textId="25B88460" w:rsidR="003450B9" w:rsidRDefault="003450B9" w:rsidP="003450B9">
      <w:pPr>
        <w:pStyle w:val="p0"/>
        <w:numPr>
          <w:ilvl w:val="0"/>
          <w:numId w:val="15"/>
        </w:numPr>
        <w:contextualSpacing/>
        <w:rPr>
          <w:sz w:val="24"/>
          <w:szCs w:val="24"/>
          <w:u w:val="single"/>
        </w:rPr>
      </w:pPr>
      <w:proofErr w:type="spellStart"/>
      <w:r w:rsidRPr="003450B9">
        <w:rPr>
          <w:sz w:val="24"/>
          <w:szCs w:val="24"/>
          <w:u w:val="single"/>
        </w:rPr>
        <w:t>Employes</w:t>
      </w:r>
      <w:proofErr w:type="spellEnd"/>
      <w:r w:rsidRPr="003450B9">
        <w:rPr>
          <w:sz w:val="24"/>
          <w:szCs w:val="24"/>
          <w:u w:val="single"/>
        </w:rPr>
        <w:t xml:space="preserve"> furloughed as a result of COVID-19 Coronavirus and the budgetary shortfalls resulting from COVD-19 Coronavirus.</w:t>
      </w:r>
    </w:p>
    <w:p w14:paraId="1109FC82" w14:textId="77777777" w:rsidR="003450B9" w:rsidRDefault="003450B9" w:rsidP="003450B9">
      <w:pPr>
        <w:pStyle w:val="p0"/>
        <w:ind w:left="720" w:firstLine="0"/>
        <w:contextualSpacing/>
        <w:rPr>
          <w:sz w:val="24"/>
          <w:szCs w:val="24"/>
          <w:u w:val="single"/>
        </w:rPr>
      </w:pPr>
    </w:p>
    <w:p w14:paraId="74361EF0" w14:textId="4C3DF3A5" w:rsidR="003450B9" w:rsidRDefault="003450B9" w:rsidP="003450B9">
      <w:pPr>
        <w:pStyle w:val="p0"/>
        <w:numPr>
          <w:ilvl w:val="0"/>
          <w:numId w:val="15"/>
        </w:numPr>
        <w:contextualSpacing/>
        <w:rPr>
          <w:sz w:val="24"/>
          <w:szCs w:val="24"/>
          <w:u w:val="single"/>
        </w:rPr>
      </w:pPr>
      <w:proofErr w:type="spellStart"/>
      <w:r>
        <w:rPr>
          <w:sz w:val="24"/>
          <w:szCs w:val="24"/>
          <w:u w:val="single"/>
        </w:rPr>
        <w:t>Employes</w:t>
      </w:r>
      <w:proofErr w:type="spellEnd"/>
      <w:r>
        <w:rPr>
          <w:sz w:val="24"/>
          <w:szCs w:val="24"/>
          <w:u w:val="single"/>
        </w:rPr>
        <w:t xml:space="preserve"> receiving worker’s compensation for injuries received while in ERS-eligible County Service shall receive service credit for the period of time not otherwise credited under proper application therefor to the secretary.</w:t>
      </w:r>
    </w:p>
    <w:p w14:paraId="7A87F138" w14:textId="2ACC3D35" w:rsidR="003450B9" w:rsidRDefault="003450B9" w:rsidP="003450B9">
      <w:pPr>
        <w:pStyle w:val="p0"/>
        <w:numPr>
          <w:ilvl w:val="0"/>
          <w:numId w:val="15"/>
        </w:numPr>
        <w:contextualSpacing/>
        <w:rPr>
          <w:sz w:val="24"/>
          <w:szCs w:val="24"/>
          <w:u w:val="single"/>
        </w:rPr>
      </w:pPr>
      <w:proofErr w:type="spellStart"/>
      <w:r>
        <w:rPr>
          <w:sz w:val="24"/>
          <w:szCs w:val="24"/>
          <w:u w:val="single"/>
        </w:rPr>
        <w:lastRenderedPageBreak/>
        <w:t>Employes</w:t>
      </w:r>
      <w:proofErr w:type="spellEnd"/>
      <w:r>
        <w:rPr>
          <w:sz w:val="24"/>
          <w:szCs w:val="24"/>
          <w:u w:val="single"/>
        </w:rPr>
        <w:t xml:space="preserve"> granted Military Service Credit pursuant to Ordinance section 201.24(2.10).</w:t>
      </w:r>
    </w:p>
    <w:p w14:paraId="2F2F0A67" w14:textId="77777777" w:rsidR="003450B9" w:rsidRDefault="003450B9" w:rsidP="003450B9">
      <w:pPr>
        <w:pStyle w:val="p0"/>
        <w:ind w:left="720" w:firstLine="0"/>
        <w:contextualSpacing/>
        <w:rPr>
          <w:sz w:val="24"/>
          <w:szCs w:val="24"/>
          <w:u w:val="single"/>
        </w:rPr>
      </w:pPr>
    </w:p>
    <w:p w14:paraId="4FFCA82A" w14:textId="5A028ED9" w:rsidR="003450B9" w:rsidRDefault="003450B9" w:rsidP="003450B9">
      <w:pPr>
        <w:pStyle w:val="p0"/>
        <w:numPr>
          <w:ilvl w:val="0"/>
          <w:numId w:val="15"/>
        </w:numPr>
        <w:contextualSpacing/>
        <w:rPr>
          <w:sz w:val="24"/>
          <w:szCs w:val="24"/>
          <w:u w:val="single"/>
        </w:rPr>
      </w:pPr>
      <w:r>
        <w:rPr>
          <w:sz w:val="24"/>
          <w:szCs w:val="24"/>
          <w:u w:val="single"/>
        </w:rPr>
        <w:t xml:space="preserve">Accrual of service credit in excess of one (1) month during which the </w:t>
      </w:r>
      <w:proofErr w:type="spellStart"/>
      <w:r>
        <w:rPr>
          <w:sz w:val="24"/>
          <w:szCs w:val="24"/>
          <w:u w:val="single"/>
        </w:rPr>
        <w:t>employe</w:t>
      </w:r>
      <w:proofErr w:type="spellEnd"/>
      <w:r>
        <w:rPr>
          <w:sz w:val="24"/>
          <w:szCs w:val="24"/>
          <w:u w:val="single"/>
        </w:rPr>
        <w:t xml:space="preserve"> was absent without Earnable Compensation is not a vested property right.</w:t>
      </w:r>
    </w:p>
    <w:p w14:paraId="2B8E56E1" w14:textId="77777777" w:rsidR="003450B9" w:rsidRDefault="003450B9" w:rsidP="003450B9">
      <w:pPr>
        <w:pStyle w:val="p0"/>
        <w:ind w:firstLine="0"/>
        <w:contextualSpacing/>
        <w:rPr>
          <w:sz w:val="24"/>
          <w:szCs w:val="24"/>
          <w:u w:val="single"/>
        </w:rPr>
      </w:pPr>
    </w:p>
    <w:p w14:paraId="59236820" w14:textId="0F7918E8" w:rsidR="003450B9" w:rsidRPr="003450B9" w:rsidRDefault="003450B9" w:rsidP="003450B9">
      <w:pPr>
        <w:pStyle w:val="p0"/>
        <w:ind w:firstLine="0"/>
        <w:contextualSpacing/>
        <w:rPr>
          <w:sz w:val="24"/>
          <w:szCs w:val="24"/>
        </w:rPr>
      </w:pPr>
      <w:r w:rsidRPr="003450B9">
        <w:rPr>
          <w:b/>
          <w:sz w:val="24"/>
          <w:szCs w:val="24"/>
        </w:rPr>
        <w:t>Section 4.</w:t>
      </w:r>
      <w:r w:rsidRPr="003450B9">
        <w:rPr>
          <w:sz w:val="24"/>
          <w:szCs w:val="24"/>
        </w:rPr>
        <w:t xml:space="preserve"> The provisions of this Ordinance shall become effective upon passage and publication.</w:t>
      </w:r>
    </w:p>
    <w:sectPr w:rsidR="003450B9" w:rsidRPr="003450B9" w:rsidSect="004134D8">
      <w:footerReference w:type="default" r:id="rId8"/>
      <w:endnotePr>
        <w:numFmt w:val="decimal"/>
      </w:endnotePr>
      <w:type w:val="continuous"/>
      <w:pgSz w:w="12240" w:h="15840" w:code="1"/>
      <w:pgMar w:top="1440" w:right="720" w:bottom="1440" w:left="2160" w:header="1440" w:footer="144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F403" w14:textId="77777777" w:rsidR="005A48D4" w:rsidRDefault="005A48D4">
      <w:r>
        <w:separator/>
      </w:r>
    </w:p>
  </w:endnote>
  <w:endnote w:type="continuationSeparator" w:id="0">
    <w:p w14:paraId="50B17750" w14:textId="77777777" w:rsidR="005A48D4" w:rsidRDefault="005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22436"/>
      <w:docPartObj>
        <w:docPartGallery w:val="Page Numbers (Bottom of Page)"/>
        <w:docPartUnique/>
      </w:docPartObj>
    </w:sdtPr>
    <w:sdtEndPr/>
    <w:sdtContent>
      <w:sdt>
        <w:sdtPr>
          <w:id w:val="1728636285"/>
          <w:docPartObj>
            <w:docPartGallery w:val="Page Numbers (Top of Page)"/>
            <w:docPartUnique/>
          </w:docPartObj>
        </w:sdtPr>
        <w:sdtEndPr/>
        <w:sdtContent>
          <w:p w14:paraId="0017D23C" w14:textId="00898348" w:rsidR="004A56B4" w:rsidRDefault="004A56B4">
            <w:pPr>
              <w:pStyle w:val="Footer"/>
              <w:jc w:val="center"/>
            </w:pPr>
            <w:r>
              <w:t xml:space="preserve">Page </w:t>
            </w:r>
            <w:r>
              <w:rPr>
                <w:b/>
                <w:bCs/>
              </w:rPr>
              <w:fldChar w:fldCharType="begin"/>
            </w:r>
            <w:r>
              <w:rPr>
                <w:b/>
                <w:bCs/>
              </w:rPr>
              <w:instrText xml:space="preserve"> PAGE </w:instrText>
            </w:r>
            <w:r>
              <w:rPr>
                <w:b/>
                <w:bCs/>
              </w:rPr>
              <w:fldChar w:fldCharType="separate"/>
            </w:r>
            <w:r w:rsidR="00A6527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65271">
              <w:rPr>
                <w:b/>
                <w:bCs/>
                <w:noProof/>
              </w:rPr>
              <w:t>4</w:t>
            </w:r>
            <w:r>
              <w:rPr>
                <w:b/>
                <w:bCs/>
              </w:rPr>
              <w:fldChar w:fldCharType="end"/>
            </w:r>
          </w:p>
        </w:sdtContent>
      </w:sdt>
    </w:sdtContent>
  </w:sdt>
  <w:p w14:paraId="3A3E903D" w14:textId="58DF3223" w:rsidR="00E650DF" w:rsidRDefault="00E650DF">
    <w:pPr>
      <w:tabs>
        <w:tab w:val="center" w:pos="3960"/>
      </w:tabs>
      <w:ind w:left="-720" w:right="720"/>
      <w:rPr>
        <w:rFonts w:ascii="CG Omega" w:hAnsi="CG Omeg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322E" w14:textId="77777777" w:rsidR="005A48D4" w:rsidRDefault="005A48D4">
      <w:r>
        <w:separator/>
      </w:r>
    </w:p>
  </w:footnote>
  <w:footnote w:type="continuationSeparator" w:id="0">
    <w:p w14:paraId="3093A17E" w14:textId="77777777" w:rsidR="005A48D4" w:rsidRDefault="005A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180"/>
    <w:multiLevelType w:val="hybridMultilevel"/>
    <w:tmpl w:val="A0FC6CCE"/>
    <w:lvl w:ilvl="0" w:tplc="BA549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C133C"/>
    <w:multiLevelType w:val="hybridMultilevel"/>
    <w:tmpl w:val="A2A87A76"/>
    <w:lvl w:ilvl="0" w:tplc="645EEF22">
      <w:start w:val="5"/>
      <w:numFmt w:val="decimal"/>
      <w:lvlText w:val="(%1)"/>
      <w:lvlJc w:val="left"/>
      <w:pPr>
        <w:ind w:left="1200" w:hanging="360"/>
      </w:pPr>
      <w:rPr>
        <w:rFonts w:hint="default"/>
        <w:strik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CC649D3"/>
    <w:multiLevelType w:val="singleLevel"/>
    <w:tmpl w:val="6CEE498A"/>
    <w:lvl w:ilvl="0">
      <w:start w:val="1"/>
      <w:numFmt w:val="decimal"/>
      <w:lvlText w:val="(%1)"/>
      <w:lvlJc w:val="left"/>
      <w:pPr>
        <w:tabs>
          <w:tab w:val="num" w:pos="360"/>
        </w:tabs>
        <w:ind w:left="360" w:hanging="360"/>
      </w:pPr>
    </w:lvl>
  </w:abstractNum>
  <w:abstractNum w:abstractNumId="3" w15:restartNumberingAfterBreak="0">
    <w:nsid w:val="1971356F"/>
    <w:multiLevelType w:val="hybridMultilevel"/>
    <w:tmpl w:val="409E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A138CB"/>
    <w:multiLevelType w:val="hybridMultilevel"/>
    <w:tmpl w:val="EF927C8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3E075BC4"/>
    <w:multiLevelType w:val="hybridMultilevel"/>
    <w:tmpl w:val="7758F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FBA13A1"/>
    <w:multiLevelType w:val="hybridMultilevel"/>
    <w:tmpl w:val="01267722"/>
    <w:lvl w:ilvl="0" w:tplc="B2340C98">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54055"/>
    <w:multiLevelType w:val="hybridMultilevel"/>
    <w:tmpl w:val="D16A6408"/>
    <w:lvl w:ilvl="0" w:tplc="C4B01014">
      <w:start w:val="1"/>
      <w:numFmt w:val="decimal"/>
      <w:lvlText w:val="(%1)"/>
      <w:lvlJc w:val="left"/>
      <w:pPr>
        <w:ind w:left="1200" w:hanging="360"/>
      </w:pPr>
      <w:rPr>
        <w:rFonts w:hint="default"/>
      </w:rPr>
    </w:lvl>
    <w:lvl w:ilvl="1" w:tplc="4AD07CC4">
      <w:start w:val="1"/>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236244B"/>
    <w:multiLevelType w:val="singleLevel"/>
    <w:tmpl w:val="39421754"/>
    <w:lvl w:ilvl="0">
      <w:start w:val="1"/>
      <w:numFmt w:val="decimal"/>
      <w:lvlText w:val="%1."/>
      <w:lvlJc w:val="left"/>
      <w:pPr>
        <w:tabs>
          <w:tab w:val="num" w:pos="1080"/>
        </w:tabs>
        <w:ind w:left="1080" w:hanging="360"/>
      </w:pPr>
      <w:rPr>
        <w:rFonts w:hint="default"/>
      </w:rPr>
    </w:lvl>
  </w:abstractNum>
  <w:abstractNum w:abstractNumId="10" w15:restartNumberingAfterBreak="0">
    <w:nsid w:val="53257E1A"/>
    <w:multiLevelType w:val="hybridMultilevel"/>
    <w:tmpl w:val="04AE0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3535722"/>
    <w:multiLevelType w:val="hybridMultilevel"/>
    <w:tmpl w:val="EAF2D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0A73C7"/>
    <w:multiLevelType w:val="multilevel"/>
    <w:tmpl w:val="EDDC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866E4C"/>
    <w:multiLevelType w:val="hybridMultilevel"/>
    <w:tmpl w:val="F5B851C4"/>
    <w:lvl w:ilvl="0" w:tplc="4F4EB9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B2155"/>
    <w:multiLevelType w:val="hybridMultilevel"/>
    <w:tmpl w:val="22F69016"/>
    <w:lvl w:ilvl="0" w:tplc="F5D0C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9"/>
  </w:num>
  <w:num w:numId="4">
    <w:abstractNumId w:val="5"/>
  </w:num>
  <w:num w:numId="5">
    <w:abstractNumId w:val="12"/>
  </w:num>
  <w:num w:numId="6">
    <w:abstractNumId w:val="3"/>
  </w:num>
  <w:num w:numId="7">
    <w:abstractNumId w:val="13"/>
  </w:num>
  <w:num w:numId="8">
    <w:abstractNumId w:val="11"/>
  </w:num>
  <w:num w:numId="9">
    <w:abstractNumId w:val="10"/>
  </w:num>
  <w:num w:numId="10">
    <w:abstractNumId w:val="6"/>
  </w:num>
  <w:num w:numId="11">
    <w:abstractNumId w:val="14"/>
  </w:num>
  <w:num w:numId="12">
    <w:abstractNumId w:val="8"/>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20"/>
    <w:rsid w:val="00001524"/>
    <w:rsid w:val="00006106"/>
    <w:rsid w:val="000074F4"/>
    <w:rsid w:val="0001189A"/>
    <w:rsid w:val="00020535"/>
    <w:rsid w:val="0002154F"/>
    <w:rsid w:val="00032122"/>
    <w:rsid w:val="0004187E"/>
    <w:rsid w:val="00056A69"/>
    <w:rsid w:val="0007456D"/>
    <w:rsid w:val="00080AD6"/>
    <w:rsid w:val="000838DC"/>
    <w:rsid w:val="000901D9"/>
    <w:rsid w:val="00093533"/>
    <w:rsid w:val="000944E6"/>
    <w:rsid w:val="000A0375"/>
    <w:rsid w:val="000A6FA0"/>
    <w:rsid w:val="000B3944"/>
    <w:rsid w:val="000B5E84"/>
    <w:rsid w:val="000B6BD0"/>
    <w:rsid w:val="000B6D44"/>
    <w:rsid w:val="000D7267"/>
    <w:rsid w:val="000E4747"/>
    <w:rsid w:val="000E47DE"/>
    <w:rsid w:val="000F1821"/>
    <w:rsid w:val="000F188D"/>
    <w:rsid w:val="000F37A1"/>
    <w:rsid w:val="000F53CF"/>
    <w:rsid w:val="0010004B"/>
    <w:rsid w:val="00106937"/>
    <w:rsid w:val="001133D2"/>
    <w:rsid w:val="001143C2"/>
    <w:rsid w:val="00116AB0"/>
    <w:rsid w:val="00131AB4"/>
    <w:rsid w:val="00135A20"/>
    <w:rsid w:val="001405E8"/>
    <w:rsid w:val="00142A40"/>
    <w:rsid w:val="001457E6"/>
    <w:rsid w:val="00147000"/>
    <w:rsid w:val="0016329D"/>
    <w:rsid w:val="00163692"/>
    <w:rsid w:val="001770FB"/>
    <w:rsid w:val="00180005"/>
    <w:rsid w:val="00184392"/>
    <w:rsid w:val="0018574F"/>
    <w:rsid w:val="001D5A05"/>
    <w:rsid w:val="001E6962"/>
    <w:rsid w:val="001F1DC5"/>
    <w:rsid w:val="00201799"/>
    <w:rsid w:val="00201F80"/>
    <w:rsid w:val="00206A0E"/>
    <w:rsid w:val="002076D2"/>
    <w:rsid w:val="002237BC"/>
    <w:rsid w:val="002362C4"/>
    <w:rsid w:val="0023644B"/>
    <w:rsid w:val="00252C03"/>
    <w:rsid w:val="0025693B"/>
    <w:rsid w:val="00266C6C"/>
    <w:rsid w:val="002711EB"/>
    <w:rsid w:val="00273EE5"/>
    <w:rsid w:val="00282B57"/>
    <w:rsid w:val="002839F3"/>
    <w:rsid w:val="00295F51"/>
    <w:rsid w:val="002A1977"/>
    <w:rsid w:val="002B06DA"/>
    <w:rsid w:val="002B515F"/>
    <w:rsid w:val="002C661C"/>
    <w:rsid w:val="002D1813"/>
    <w:rsid w:val="002E3346"/>
    <w:rsid w:val="002F1AAD"/>
    <w:rsid w:val="00305E7D"/>
    <w:rsid w:val="003061E5"/>
    <w:rsid w:val="0031612E"/>
    <w:rsid w:val="00320132"/>
    <w:rsid w:val="00335ABA"/>
    <w:rsid w:val="00340D83"/>
    <w:rsid w:val="0034360D"/>
    <w:rsid w:val="00344D68"/>
    <w:rsid w:val="003450B9"/>
    <w:rsid w:val="003575ED"/>
    <w:rsid w:val="003606B9"/>
    <w:rsid w:val="0037025B"/>
    <w:rsid w:val="00372756"/>
    <w:rsid w:val="003850E2"/>
    <w:rsid w:val="00386B3E"/>
    <w:rsid w:val="0039092B"/>
    <w:rsid w:val="00392A74"/>
    <w:rsid w:val="00393D76"/>
    <w:rsid w:val="00397813"/>
    <w:rsid w:val="003978A8"/>
    <w:rsid w:val="003B6B2C"/>
    <w:rsid w:val="003B6EFA"/>
    <w:rsid w:val="003C0946"/>
    <w:rsid w:val="003C484C"/>
    <w:rsid w:val="003D10FA"/>
    <w:rsid w:val="003D3897"/>
    <w:rsid w:val="003E0C44"/>
    <w:rsid w:val="003E4D6E"/>
    <w:rsid w:val="003E53FD"/>
    <w:rsid w:val="003F033A"/>
    <w:rsid w:val="003F7797"/>
    <w:rsid w:val="003F7E98"/>
    <w:rsid w:val="004134D8"/>
    <w:rsid w:val="00423434"/>
    <w:rsid w:val="00426382"/>
    <w:rsid w:val="00440117"/>
    <w:rsid w:val="004541A4"/>
    <w:rsid w:val="0046281E"/>
    <w:rsid w:val="00474B19"/>
    <w:rsid w:val="004775EE"/>
    <w:rsid w:val="00485468"/>
    <w:rsid w:val="00491424"/>
    <w:rsid w:val="0049167F"/>
    <w:rsid w:val="00496FB8"/>
    <w:rsid w:val="004A56B4"/>
    <w:rsid w:val="004C0424"/>
    <w:rsid w:val="004C7A11"/>
    <w:rsid w:val="004D14AA"/>
    <w:rsid w:val="0050091D"/>
    <w:rsid w:val="00507B6D"/>
    <w:rsid w:val="00517B1C"/>
    <w:rsid w:val="005203C8"/>
    <w:rsid w:val="005468E0"/>
    <w:rsid w:val="00554FEA"/>
    <w:rsid w:val="00566EB1"/>
    <w:rsid w:val="00572AA6"/>
    <w:rsid w:val="00583B2F"/>
    <w:rsid w:val="00583C73"/>
    <w:rsid w:val="0059662B"/>
    <w:rsid w:val="00597058"/>
    <w:rsid w:val="005A2A13"/>
    <w:rsid w:val="005A4159"/>
    <w:rsid w:val="005A48D4"/>
    <w:rsid w:val="005A4961"/>
    <w:rsid w:val="005B1C58"/>
    <w:rsid w:val="005B366F"/>
    <w:rsid w:val="005B55EC"/>
    <w:rsid w:val="005B5CF5"/>
    <w:rsid w:val="005C2704"/>
    <w:rsid w:val="005C2980"/>
    <w:rsid w:val="005C55F5"/>
    <w:rsid w:val="005C6DB1"/>
    <w:rsid w:val="005D4375"/>
    <w:rsid w:val="005E1D80"/>
    <w:rsid w:val="005E355B"/>
    <w:rsid w:val="005F1FF3"/>
    <w:rsid w:val="005F5F73"/>
    <w:rsid w:val="006008AF"/>
    <w:rsid w:val="0060695A"/>
    <w:rsid w:val="00607BDE"/>
    <w:rsid w:val="00614C8D"/>
    <w:rsid w:val="00622E29"/>
    <w:rsid w:val="00624D9E"/>
    <w:rsid w:val="006352C0"/>
    <w:rsid w:val="0063724B"/>
    <w:rsid w:val="006409DE"/>
    <w:rsid w:val="00651837"/>
    <w:rsid w:val="00653B8F"/>
    <w:rsid w:val="00664D5A"/>
    <w:rsid w:val="006707D0"/>
    <w:rsid w:val="0068587C"/>
    <w:rsid w:val="00690CD3"/>
    <w:rsid w:val="006930B1"/>
    <w:rsid w:val="00694E55"/>
    <w:rsid w:val="00694F38"/>
    <w:rsid w:val="006A3172"/>
    <w:rsid w:val="006B28A6"/>
    <w:rsid w:val="006B4314"/>
    <w:rsid w:val="006B5ADC"/>
    <w:rsid w:val="006C3236"/>
    <w:rsid w:val="006C7D5E"/>
    <w:rsid w:val="006D354B"/>
    <w:rsid w:val="006D7B79"/>
    <w:rsid w:val="006F4423"/>
    <w:rsid w:val="007018A6"/>
    <w:rsid w:val="00701EAA"/>
    <w:rsid w:val="00702AAB"/>
    <w:rsid w:val="007167CF"/>
    <w:rsid w:val="007328A4"/>
    <w:rsid w:val="0073772C"/>
    <w:rsid w:val="00750441"/>
    <w:rsid w:val="0075759C"/>
    <w:rsid w:val="007646D9"/>
    <w:rsid w:val="007649D8"/>
    <w:rsid w:val="007746D8"/>
    <w:rsid w:val="00780741"/>
    <w:rsid w:val="007839C9"/>
    <w:rsid w:val="00784AC8"/>
    <w:rsid w:val="00794E41"/>
    <w:rsid w:val="007A0908"/>
    <w:rsid w:val="007A30F1"/>
    <w:rsid w:val="007A3B94"/>
    <w:rsid w:val="007A63C8"/>
    <w:rsid w:val="007A69FD"/>
    <w:rsid w:val="007C4E30"/>
    <w:rsid w:val="007D7D5E"/>
    <w:rsid w:val="007E0334"/>
    <w:rsid w:val="007E4967"/>
    <w:rsid w:val="007E4FCA"/>
    <w:rsid w:val="007F751E"/>
    <w:rsid w:val="00820FB7"/>
    <w:rsid w:val="00821ED9"/>
    <w:rsid w:val="00822DC7"/>
    <w:rsid w:val="00825C98"/>
    <w:rsid w:val="00832F73"/>
    <w:rsid w:val="008330B3"/>
    <w:rsid w:val="008350E5"/>
    <w:rsid w:val="00843602"/>
    <w:rsid w:val="00844756"/>
    <w:rsid w:val="008450F7"/>
    <w:rsid w:val="0085628E"/>
    <w:rsid w:val="00860969"/>
    <w:rsid w:val="00860DDC"/>
    <w:rsid w:val="00870DEC"/>
    <w:rsid w:val="0087522B"/>
    <w:rsid w:val="0087527B"/>
    <w:rsid w:val="0087667E"/>
    <w:rsid w:val="008906C6"/>
    <w:rsid w:val="00891906"/>
    <w:rsid w:val="00896B13"/>
    <w:rsid w:val="008A0FDA"/>
    <w:rsid w:val="008A31D5"/>
    <w:rsid w:val="008A5ED8"/>
    <w:rsid w:val="008A6724"/>
    <w:rsid w:val="008A70C8"/>
    <w:rsid w:val="008B4117"/>
    <w:rsid w:val="008C1A0D"/>
    <w:rsid w:val="008D6A14"/>
    <w:rsid w:val="008E194F"/>
    <w:rsid w:val="008E5864"/>
    <w:rsid w:val="008F4508"/>
    <w:rsid w:val="008F76C6"/>
    <w:rsid w:val="008F7FE2"/>
    <w:rsid w:val="00900173"/>
    <w:rsid w:val="00922144"/>
    <w:rsid w:val="00941284"/>
    <w:rsid w:val="00954754"/>
    <w:rsid w:val="00956EFB"/>
    <w:rsid w:val="00962DA6"/>
    <w:rsid w:val="00964F54"/>
    <w:rsid w:val="00971FBB"/>
    <w:rsid w:val="00972DB7"/>
    <w:rsid w:val="00977C7B"/>
    <w:rsid w:val="00994DDD"/>
    <w:rsid w:val="009A0EED"/>
    <w:rsid w:val="009A0FAA"/>
    <w:rsid w:val="009C021B"/>
    <w:rsid w:val="009C55D4"/>
    <w:rsid w:val="009D2E56"/>
    <w:rsid w:val="009E281A"/>
    <w:rsid w:val="009F6170"/>
    <w:rsid w:val="009F6D73"/>
    <w:rsid w:val="00A0506A"/>
    <w:rsid w:val="00A137EA"/>
    <w:rsid w:val="00A20FAF"/>
    <w:rsid w:val="00A34671"/>
    <w:rsid w:val="00A407F2"/>
    <w:rsid w:val="00A5473E"/>
    <w:rsid w:val="00A570D6"/>
    <w:rsid w:val="00A65271"/>
    <w:rsid w:val="00A6580F"/>
    <w:rsid w:val="00A66874"/>
    <w:rsid w:val="00A676B0"/>
    <w:rsid w:val="00A7061A"/>
    <w:rsid w:val="00A72BE8"/>
    <w:rsid w:val="00A77BE3"/>
    <w:rsid w:val="00A77EEF"/>
    <w:rsid w:val="00A81AB0"/>
    <w:rsid w:val="00A86DB7"/>
    <w:rsid w:val="00A95EB7"/>
    <w:rsid w:val="00AA4F36"/>
    <w:rsid w:val="00AB274B"/>
    <w:rsid w:val="00AB45C5"/>
    <w:rsid w:val="00AB5C63"/>
    <w:rsid w:val="00AC14F0"/>
    <w:rsid w:val="00AC17D7"/>
    <w:rsid w:val="00AD0FFC"/>
    <w:rsid w:val="00AD6333"/>
    <w:rsid w:val="00AD66AF"/>
    <w:rsid w:val="00AD7378"/>
    <w:rsid w:val="00AE5551"/>
    <w:rsid w:val="00B100E9"/>
    <w:rsid w:val="00B143A7"/>
    <w:rsid w:val="00B16086"/>
    <w:rsid w:val="00B26220"/>
    <w:rsid w:val="00B3335B"/>
    <w:rsid w:val="00B44895"/>
    <w:rsid w:val="00B4764C"/>
    <w:rsid w:val="00B618AB"/>
    <w:rsid w:val="00B745B2"/>
    <w:rsid w:val="00B83884"/>
    <w:rsid w:val="00BA4191"/>
    <w:rsid w:val="00BB395A"/>
    <w:rsid w:val="00BC09A3"/>
    <w:rsid w:val="00BC2BF1"/>
    <w:rsid w:val="00BD0124"/>
    <w:rsid w:val="00BD076A"/>
    <w:rsid w:val="00BD09DD"/>
    <w:rsid w:val="00BE3377"/>
    <w:rsid w:val="00BF20BB"/>
    <w:rsid w:val="00BF791C"/>
    <w:rsid w:val="00C1261F"/>
    <w:rsid w:val="00C171E4"/>
    <w:rsid w:val="00C17786"/>
    <w:rsid w:val="00C21B67"/>
    <w:rsid w:val="00C259E0"/>
    <w:rsid w:val="00C32FF0"/>
    <w:rsid w:val="00C34512"/>
    <w:rsid w:val="00C35044"/>
    <w:rsid w:val="00C46871"/>
    <w:rsid w:val="00C503CE"/>
    <w:rsid w:val="00C73606"/>
    <w:rsid w:val="00C80247"/>
    <w:rsid w:val="00C8756A"/>
    <w:rsid w:val="00C8760A"/>
    <w:rsid w:val="00C93A7F"/>
    <w:rsid w:val="00C942F8"/>
    <w:rsid w:val="00CA3B93"/>
    <w:rsid w:val="00CB2D22"/>
    <w:rsid w:val="00CC2C19"/>
    <w:rsid w:val="00CD29C6"/>
    <w:rsid w:val="00CE147A"/>
    <w:rsid w:val="00CE4963"/>
    <w:rsid w:val="00CE7CE1"/>
    <w:rsid w:val="00CF6C0E"/>
    <w:rsid w:val="00D01441"/>
    <w:rsid w:val="00D02929"/>
    <w:rsid w:val="00D17A15"/>
    <w:rsid w:val="00D3145E"/>
    <w:rsid w:val="00D331E6"/>
    <w:rsid w:val="00D4331A"/>
    <w:rsid w:val="00D44CF4"/>
    <w:rsid w:val="00D4736E"/>
    <w:rsid w:val="00D50FBE"/>
    <w:rsid w:val="00D54146"/>
    <w:rsid w:val="00D62DA8"/>
    <w:rsid w:val="00D72EB8"/>
    <w:rsid w:val="00D7479E"/>
    <w:rsid w:val="00D766AD"/>
    <w:rsid w:val="00D768B3"/>
    <w:rsid w:val="00D77CEF"/>
    <w:rsid w:val="00D87443"/>
    <w:rsid w:val="00D8751F"/>
    <w:rsid w:val="00D9120B"/>
    <w:rsid w:val="00DA1675"/>
    <w:rsid w:val="00DA59A7"/>
    <w:rsid w:val="00DA6556"/>
    <w:rsid w:val="00DA7E01"/>
    <w:rsid w:val="00DB1394"/>
    <w:rsid w:val="00DB61CE"/>
    <w:rsid w:val="00DB7E7C"/>
    <w:rsid w:val="00DC5865"/>
    <w:rsid w:val="00DD7025"/>
    <w:rsid w:val="00DE290A"/>
    <w:rsid w:val="00DE5B9C"/>
    <w:rsid w:val="00DE7BA2"/>
    <w:rsid w:val="00DF3C20"/>
    <w:rsid w:val="00E01425"/>
    <w:rsid w:val="00E05FED"/>
    <w:rsid w:val="00E1502A"/>
    <w:rsid w:val="00E30FD9"/>
    <w:rsid w:val="00E31628"/>
    <w:rsid w:val="00E41AFA"/>
    <w:rsid w:val="00E4706B"/>
    <w:rsid w:val="00E509ED"/>
    <w:rsid w:val="00E5619C"/>
    <w:rsid w:val="00E62EC0"/>
    <w:rsid w:val="00E64FC5"/>
    <w:rsid w:val="00E650DF"/>
    <w:rsid w:val="00E72327"/>
    <w:rsid w:val="00E76D3D"/>
    <w:rsid w:val="00E866CC"/>
    <w:rsid w:val="00E873F6"/>
    <w:rsid w:val="00E918BB"/>
    <w:rsid w:val="00EA2F2E"/>
    <w:rsid w:val="00EA7B41"/>
    <w:rsid w:val="00EB13D7"/>
    <w:rsid w:val="00EB3FF0"/>
    <w:rsid w:val="00EB4411"/>
    <w:rsid w:val="00EC22A5"/>
    <w:rsid w:val="00EC3A8E"/>
    <w:rsid w:val="00ED2720"/>
    <w:rsid w:val="00ED76D1"/>
    <w:rsid w:val="00EE0B50"/>
    <w:rsid w:val="00EF3132"/>
    <w:rsid w:val="00EF3F5E"/>
    <w:rsid w:val="00EF6BC7"/>
    <w:rsid w:val="00EF7326"/>
    <w:rsid w:val="00F02E3A"/>
    <w:rsid w:val="00F03768"/>
    <w:rsid w:val="00F0747B"/>
    <w:rsid w:val="00F10691"/>
    <w:rsid w:val="00F16E23"/>
    <w:rsid w:val="00F20E7C"/>
    <w:rsid w:val="00F20F39"/>
    <w:rsid w:val="00F309CD"/>
    <w:rsid w:val="00F5533C"/>
    <w:rsid w:val="00F602ED"/>
    <w:rsid w:val="00F76743"/>
    <w:rsid w:val="00F947DD"/>
    <w:rsid w:val="00F95E9C"/>
    <w:rsid w:val="00FB4A1D"/>
    <w:rsid w:val="00FB5079"/>
    <w:rsid w:val="00FC1024"/>
    <w:rsid w:val="00FC135C"/>
    <w:rsid w:val="00FC2A95"/>
    <w:rsid w:val="00FF23D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386AE9"/>
  <w15:chartTrackingRefBased/>
  <w15:docId w15:val="{3FFE55E3-FF39-4EF8-855C-D28BB9B5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widowControl/>
      <w:tabs>
        <w:tab w:val="left" w:pos="720"/>
        <w:tab w:val="left" w:pos="1800"/>
        <w:tab w:val="center" w:pos="4680"/>
        <w:tab w:val="right" w:pos="9360"/>
      </w:tabs>
      <w:ind w:firstLine="720"/>
      <w:jc w:val="center"/>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semiHidden/>
  </w:style>
  <w:style w:type="paragraph" w:styleId="BodyText">
    <w:name w:val="Body Text"/>
    <w:basedOn w:val="Normal"/>
    <w:semiHidden/>
    <w:pPr>
      <w:widowControl/>
      <w:tabs>
        <w:tab w:val="left" w:pos="720"/>
        <w:tab w:val="left" w:pos="1800"/>
        <w:tab w:val="center" w:pos="4680"/>
        <w:tab w:val="right" w:pos="9360"/>
      </w:tabs>
      <w:jc w:val="center"/>
    </w:pPr>
    <w:rPr>
      <w:rFonts w:ascii="CG Omega" w:hAnsi="CG Omega"/>
    </w:rPr>
  </w:style>
  <w:style w:type="paragraph" w:styleId="BodyTextIndent">
    <w:name w:val="Body Text Indent"/>
    <w:basedOn w:val="Normal"/>
    <w:semiHidden/>
    <w:pPr>
      <w:widowControl/>
      <w:tabs>
        <w:tab w:val="left" w:pos="720"/>
        <w:tab w:val="left" w:pos="1800"/>
        <w:tab w:val="center" w:pos="4680"/>
        <w:tab w:val="right" w:pos="9360"/>
      </w:tabs>
      <w:ind w:left="1800" w:hanging="1800"/>
    </w:pPr>
    <w:rPr>
      <w:rFonts w:ascii="CG Omega" w:hAnsi="CG Omega"/>
      <w:b/>
    </w:rPr>
  </w:style>
  <w:style w:type="paragraph" w:styleId="BodyTextIndent2">
    <w:name w:val="Body Text Indent 2"/>
    <w:basedOn w:val="Normal"/>
    <w:semiHidden/>
    <w:pPr>
      <w:ind w:left="720"/>
    </w:pPr>
    <w:rPr>
      <w:rFonts w:ascii="CG Omega" w:hAnsi="CG Omega"/>
    </w:rPr>
  </w:style>
  <w:style w:type="paragraph" w:styleId="BodyTextIndent3">
    <w:name w:val="Body Text Indent 3"/>
    <w:basedOn w:val="Normal"/>
    <w:semiHidden/>
    <w:pPr>
      <w:widowControl/>
      <w:tabs>
        <w:tab w:val="left" w:pos="720"/>
        <w:tab w:val="left" w:pos="1800"/>
        <w:tab w:val="center" w:pos="4680"/>
        <w:tab w:val="right" w:pos="9360"/>
      </w:tabs>
      <w:ind w:left="720"/>
      <w:jc w:val="center"/>
    </w:pPr>
    <w:rPr>
      <w:rFonts w:ascii="CG Omega" w:hAnsi="CG Omega"/>
    </w:rPr>
  </w:style>
  <w:style w:type="paragraph" w:styleId="BalloonText">
    <w:name w:val="Balloon Text"/>
    <w:basedOn w:val="Normal"/>
    <w:link w:val="BalloonTextChar"/>
    <w:uiPriority w:val="99"/>
    <w:semiHidden/>
    <w:unhideWhenUsed/>
    <w:rsid w:val="007A63C8"/>
    <w:rPr>
      <w:rFonts w:ascii="Tahoma" w:hAnsi="Tahoma" w:cs="Tahoma"/>
      <w:sz w:val="16"/>
      <w:szCs w:val="16"/>
    </w:rPr>
  </w:style>
  <w:style w:type="character" w:customStyle="1" w:styleId="BalloonTextChar">
    <w:name w:val="Balloon Text Char"/>
    <w:link w:val="BalloonText"/>
    <w:uiPriority w:val="99"/>
    <w:semiHidden/>
    <w:rsid w:val="007A63C8"/>
    <w:rPr>
      <w:rFonts w:ascii="Tahoma" w:hAnsi="Tahoma" w:cs="Tahoma"/>
      <w:snapToGrid w:val="0"/>
      <w:sz w:val="16"/>
      <w:szCs w:val="16"/>
    </w:rPr>
  </w:style>
  <w:style w:type="paragraph" w:styleId="Header">
    <w:name w:val="header"/>
    <w:basedOn w:val="Normal"/>
    <w:link w:val="HeaderChar"/>
    <w:uiPriority w:val="99"/>
    <w:unhideWhenUsed/>
    <w:rsid w:val="001E6962"/>
    <w:pPr>
      <w:tabs>
        <w:tab w:val="center" w:pos="4680"/>
        <w:tab w:val="right" w:pos="9360"/>
      </w:tabs>
    </w:pPr>
  </w:style>
  <w:style w:type="character" w:customStyle="1" w:styleId="HeaderChar">
    <w:name w:val="Header Char"/>
    <w:link w:val="Header"/>
    <w:uiPriority w:val="99"/>
    <w:rsid w:val="001E6962"/>
    <w:rPr>
      <w:snapToGrid w:val="0"/>
      <w:sz w:val="24"/>
    </w:rPr>
  </w:style>
  <w:style w:type="paragraph" w:styleId="Footer">
    <w:name w:val="footer"/>
    <w:basedOn w:val="Normal"/>
    <w:link w:val="FooterChar"/>
    <w:uiPriority w:val="99"/>
    <w:unhideWhenUsed/>
    <w:rsid w:val="001E6962"/>
    <w:pPr>
      <w:tabs>
        <w:tab w:val="center" w:pos="4680"/>
        <w:tab w:val="right" w:pos="9360"/>
      </w:tabs>
    </w:pPr>
  </w:style>
  <w:style w:type="character" w:customStyle="1" w:styleId="FooterChar">
    <w:name w:val="Footer Char"/>
    <w:link w:val="Footer"/>
    <w:uiPriority w:val="99"/>
    <w:rsid w:val="001E6962"/>
    <w:rPr>
      <w:snapToGrid w:val="0"/>
      <w:sz w:val="24"/>
    </w:rPr>
  </w:style>
  <w:style w:type="character" w:styleId="Hyperlink">
    <w:name w:val="Hyperlink"/>
    <w:uiPriority w:val="99"/>
    <w:unhideWhenUsed/>
    <w:rsid w:val="002B06DA"/>
    <w:rPr>
      <w:color w:val="0563C1"/>
      <w:u w:val="single"/>
    </w:rPr>
  </w:style>
  <w:style w:type="character" w:styleId="FollowedHyperlink">
    <w:name w:val="FollowedHyperlink"/>
    <w:uiPriority w:val="99"/>
    <w:semiHidden/>
    <w:unhideWhenUsed/>
    <w:rsid w:val="008F4508"/>
    <w:rPr>
      <w:color w:val="954F72"/>
      <w:u w:val="single"/>
    </w:rPr>
  </w:style>
  <w:style w:type="paragraph" w:styleId="ListParagraph">
    <w:name w:val="List Paragraph"/>
    <w:basedOn w:val="Normal"/>
    <w:uiPriority w:val="34"/>
    <w:qFormat/>
    <w:rsid w:val="00C1261F"/>
    <w:pPr>
      <w:widowControl/>
      <w:spacing w:after="160" w:line="259" w:lineRule="auto"/>
      <w:ind w:left="720"/>
      <w:contextualSpacing/>
    </w:pPr>
    <w:rPr>
      <w:rFonts w:eastAsia="Calibri"/>
    </w:rPr>
  </w:style>
  <w:style w:type="paragraph" w:customStyle="1" w:styleId="Default">
    <w:name w:val="Default"/>
    <w:rsid w:val="00C1261F"/>
    <w:pPr>
      <w:autoSpaceDE w:val="0"/>
      <w:autoSpaceDN w:val="0"/>
      <w:adjustRightInd w:val="0"/>
    </w:pPr>
    <w:rPr>
      <w:rFonts w:eastAsia="Calibri"/>
      <w:color w:val="000000"/>
      <w:sz w:val="24"/>
      <w:szCs w:val="24"/>
    </w:rPr>
  </w:style>
  <w:style w:type="character" w:customStyle="1" w:styleId="tgc">
    <w:name w:val="_tgc"/>
    <w:rsid w:val="00C1261F"/>
  </w:style>
  <w:style w:type="paragraph" w:styleId="PlainText">
    <w:name w:val="Plain Text"/>
    <w:basedOn w:val="Normal"/>
    <w:link w:val="PlainTextChar"/>
    <w:uiPriority w:val="99"/>
    <w:unhideWhenUsed/>
    <w:rsid w:val="00C8756A"/>
    <w:pPr>
      <w:widowControl/>
    </w:pPr>
    <w:rPr>
      <w:rFonts w:ascii="Calibri" w:hAnsi="Calibri" w:cs="Times New Roman"/>
      <w:sz w:val="22"/>
      <w:szCs w:val="21"/>
    </w:rPr>
  </w:style>
  <w:style w:type="character" w:customStyle="1" w:styleId="PlainTextChar">
    <w:name w:val="Plain Text Char"/>
    <w:link w:val="PlainText"/>
    <w:uiPriority w:val="99"/>
    <w:rsid w:val="00C8756A"/>
    <w:rPr>
      <w:rFonts w:ascii="Calibri" w:hAnsi="Calibri" w:cs="Times New Roman"/>
      <w:sz w:val="22"/>
      <w:szCs w:val="21"/>
    </w:rPr>
  </w:style>
  <w:style w:type="character" w:styleId="Emphasis">
    <w:name w:val="Emphasis"/>
    <w:basedOn w:val="DefaultParagraphFont"/>
    <w:uiPriority w:val="20"/>
    <w:qFormat/>
    <w:rsid w:val="004A56B4"/>
    <w:rPr>
      <w:i/>
      <w:iCs/>
    </w:rPr>
  </w:style>
  <w:style w:type="paragraph" w:customStyle="1" w:styleId="p0">
    <w:name w:val="p0"/>
    <w:basedOn w:val="Normal"/>
    <w:qFormat/>
    <w:rsid w:val="000F53CF"/>
    <w:pPr>
      <w:widowControl/>
      <w:spacing w:after="120"/>
      <w:ind w:firstLine="432"/>
    </w:pPr>
    <w:rPr>
      <w:rFonts w:eastAsia="Arial" w:cs="Calibr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4693">
      <w:bodyDiv w:val="1"/>
      <w:marLeft w:val="0"/>
      <w:marRight w:val="0"/>
      <w:marTop w:val="0"/>
      <w:marBottom w:val="0"/>
      <w:divBdr>
        <w:top w:val="none" w:sz="0" w:space="0" w:color="auto"/>
        <w:left w:val="none" w:sz="0" w:space="0" w:color="auto"/>
        <w:bottom w:val="none" w:sz="0" w:space="0" w:color="auto"/>
        <w:right w:val="none" w:sz="0" w:space="0" w:color="auto"/>
      </w:divBdr>
    </w:div>
    <w:div w:id="1477410813">
      <w:bodyDiv w:val="1"/>
      <w:marLeft w:val="0"/>
      <w:marRight w:val="0"/>
      <w:marTop w:val="0"/>
      <w:marBottom w:val="0"/>
      <w:divBdr>
        <w:top w:val="none" w:sz="0" w:space="0" w:color="auto"/>
        <w:left w:val="none" w:sz="0" w:space="0" w:color="auto"/>
        <w:bottom w:val="none" w:sz="0" w:space="0" w:color="auto"/>
        <w:right w:val="none" w:sz="0" w:space="0" w:color="auto"/>
      </w:divBdr>
      <w:divsChild>
        <w:div w:id="169873517">
          <w:marLeft w:val="0"/>
          <w:marRight w:val="0"/>
          <w:marTop w:val="43"/>
          <w:marBottom w:val="43"/>
          <w:divBdr>
            <w:top w:val="none" w:sz="0" w:space="0" w:color="auto"/>
            <w:left w:val="none" w:sz="0" w:space="0" w:color="auto"/>
            <w:bottom w:val="none" w:sz="0" w:space="0" w:color="auto"/>
            <w:right w:val="none" w:sz="0" w:space="0" w:color="auto"/>
          </w:divBdr>
        </w:div>
        <w:div w:id="709036231">
          <w:marLeft w:val="0"/>
          <w:marRight w:val="0"/>
          <w:marTop w:val="43"/>
          <w:marBottom w:val="43"/>
          <w:divBdr>
            <w:top w:val="none" w:sz="0" w:space="0" w:color="auto"/>
            <w:left w:val="none" w:sz="0" w:space="0" w:color="auto"/>
            <w:bottom w:val="none" w:sz="0" w:space="0" w:color="auto"/>
            <w:right w:val="none" w:sz="0" w:space="0" w:color="auto"/>
          </w:divBdr>
        </w:div>
        <w:div w:id="1135753616">
          <w:marLeft w:val="0"/>
          <w:marRight w:val="0"/>
          <w:marTop w:val="43"/>
          <w:marBottom w:val="43"/>
          <w:divBdr>
            <w:top w:val="none" w:sz="0" w:space="0" w:color="auto"/>
            <w:left w:val="none" w:sz="0" w:space="0" w:color="auto"/>
            <w:bottom w:val="none" w:sz="0" w:space="0" w:color="auto"/>
            <w:right w:val="none" w:sz="0" w:space="0" w:color="auto"/>
          </w:divBdr>
        </w:div>
        <w:div w:id="1652784927">
          <w:marLeft w:val="0"/>
          <w:marRight w:val="0"/>
          <w:marTop w:val="43"/>
          <w:marBottom w:val="43"/>
          <w:divBdr>
            <w:top w:val="none" w:sz="0" w:space="0" w:color="auto"/>
            <w:left w:val="none" w:sz="0" w:space="0" w:color="auto"/>
            <w:bottom w:val="none" w:sz="0" w:space="0" w:color="auto"/>
            <w:right w:val="none" w:sz="0" w:space="0" w:color="auto"/>
          </w:divBdr>
        </w:div>
        <w:div w:id="1701587446">
          <w:marLeft w:val="0"/>
          <w:marRight w:val="0"/>
          <w:marTop w:val="43"/>
          <w:marBottom w:val="43"/>
          <w:divBdr>
            <w:top w:val="single" w:sz="6" w:space="0" w:color="DDDDDD"/>
            <w:left w:val="none" w:sz="0" w:space="0" w:color="auto"/>
            <w:bottom w:val="single" w:sz="6" w:space="0" w:color="EEEEEE"/>
            <w:right w:val="none" w:sz="0" w:space="0" w:color="auto"/>
          </w:divBdr>
        </w:div>
        <w:div w:id="1771243853">
          <w:marLeft w:val="0"/>
          <w:marRight w:val="0"/>
          <w:marTop w:val="43"/>
          <w:marBottom w:val="43"/>
          <w:divBdr>
            <w:top w:val="none" w:sz="0" w:space="0" w:color="auto"/>
            <w:left w:val="none" w:sz="0" w:space="0" w:color="auto"/>
            <w:bottom w:val="none" w:sz="0" w:space="0" w:color="auto"/>
            <w:right w:val="none" w:sz="0" w:space="0" w:color="auto"/>
          </w:divBdr>
        </w:div>
      </w:divsChild>
    </w:div>
    <w:div w:id="1497376087">
      <w:bodyDiv w:val="1"/>
      <w:marLeft w:val="0"/>
      <w:marRight w:val="0"/>
      <w:marTop w:val="0"/>
      <w:marBottom w:val="0"/>
      <w:divBdr>
        <w:top w:val="none" w:sz="0" w:space="0" w:color="auto"/>
        <w:left w:val="none" w:sz="0" w:space="0" w:color="auto"/>
        <w:bottom w:val="none" w:sz="0" w:space="0" w:color="auto"/>
        <w:right w:val="none" w:sz="0" w:space="0" w:color="auto"/>
      </w:divBdr>
    </w:div>
    <w:div w:id="1506048022">
      <w:bodyDiv w:val="1"/>
      <w:marLeft w:val="0"/>
      <w:marRight w:val="0"/>
      <w:marTop w:val="0"/>
      <w:marBottom w:val="0"/>
      <w:divBdr>
        <w:top w:val="none" w:sz="0" w:space="0" w:color="auto"/>
        <w:left w:val="none" w:sz="0" w:space="0" w:color="auto"/>
        <w:bottom w:val="none" w:sz="0" w:space="0" w:color="auto"/>
        <w:right w:val="none" w:sz="0" w:space="0" w:color="auto"/>
      </w:divBdr>
      <w:divsChild>
        <w:div w:id="47731663">
          <w:marLeft w:val="0"/>
          <w:marRight w:val="0"/>
          <w:marTop w:val="43"/>
          <w:marBottom w:val="43"/>
          <w:divBdr>
            <w:top w:val="none" w:sz="0" w:space="0" w:color="auto"/>
            <w:left w:val="none" w:sz="0" w:space="0" w:color="auto"/>
            <w:bottom w:val="none" w:sz="0" w:space="0" w:color="auto"/>
            <w:right w:val="none" w:sz="0" w:space="0" w:color="auto"/>
          </w:divBdr>
        </w:div>
        <w:div w:id="67390501">
          <w:marLeft w:val="0"/>
          <w:marRight w:val="0"/>
          <w:marTop w:val="43"/>
          <w:marBottom w:val="43"/>
          <w:divBdr>
            <w:top w:val="none" w:sz="0" w:space="0" w:color="auto"/>
            <w:left w:val="none" w:sz="0" w:space="0" w:color="auto"/>
            <w:bottom w:val="none" w:sz="0" w:space="0" w:color="auto"/>
            <w:right w:val="none" w:sz="0" w:space="0" w:color="auto"/>
          </w:divBdr>
        </w:div>
        <w:div w:id="184487110">
          <w:marLeft w:val="0"/>
          <w:marRight w:val="0"/>
          <w:marTop w:val="43"/>
          <w:marBottom w:val="43"/>
          <w:divBdr>
            <w:top w:val="none" w:sz="0" w:space="0" w:color="auto"/>
            <w:left w:val="none" w:sz="0" w:space="0" w:color="auto"/>
            <w:bottom w:val="none" w:sz="0" w:space="0" w:color="auto"/>
            <w:right w:val="none" w:sz="0" w:space="0" w:color="auto"/>
          </w:divBdr>
        </w:div>
        <w:div w:id="1307050740">
          <w:marLeft w:val="0"/>
          <w:marRight w:val="0"/>
          <w:marTop w:val="43"/>
          <w:marBottom w:val="43"/>
          <w:divBdr>
            <w:top w:val="single" w:sz="6" w:space="0" w:color="DDDDDD"/>
            <w:left w:val="none" w:sz="0" w:space="0" w:color="auto"/>
            <w:bottom w:val="single" w:sz="6" w:space="0" w:color="EEEEEE"/>
            <w:right w:val="none" w:sz="0" w:space="0" w:color="auto"/>
          </w:divBdr>
        </w:div>
        <w:div w:id="1359819626">
          <w:marLeft w:val="0"/>
          <w:marRight w:val="0"/>
          <w:marTop w:val="43"/>
          <w:marBottom w:val="43"/>
          <w:divBdr>
            <w:top w:val="none" w:sz="0" w:space="0" w:color="auto"/>
            <w:left w:val="none" w:sz="0" w:space="0" w:color="auto"/>
            <w:bottom w:val="none" w:sz="0" w:space="0" w:color="auto"/>
            <w:right w:val="none" w:sz="0" w:space="0" w:color="auto"/>
          </w:divBdr>
        </w:div>
        <w:div w:id="1841038613">
          <w:marLeft w:val="0"/>
          <w:marRight w:val="0"/>
          <w:marTop w:val="43"/>
          <w:marBottom w:val="43"/>
          <w:divBdr>
            <w:top w:val="none" w:sz="0" w:space="0" w:color="auto"/>
            <w:left w:val="none" w:sz="0" w:space="0" w:color="auto"/>
            <w:bottom w:val="none" w:sz="0" w:space="0" w:color="auto"/>
            <w:right w:val="none" w:sz="0" w:space="0" w:color="auto"/>
          </w:divBdr>
        </w:div>
      </w:divsChild>
    </w:div>
    <w:div w:id="1633248252">
      <w:bodyDiv w:val="1"/>
      <w:marLeft w:val="0"/>
      <w:marRight w:val="0"/>
      <w:marTop w:val="0"/>
      <w:marBottom w:val="0"/>
      <w:divBdr>
        <w:top w:val="none" w:sz="0" w:space="0" w:color="auto"/>
        <w:left w:val="none" w:sz="0" w:space="0" w:color="auto"/>
        <w:bottom w:val="none" w:sz="0" w:space="0" w:color="auto"/>
        <w:right w:val="none" w:sz="0" w:space="0" w:color="auto"/>
      </w:divBdr>
      <w:divsChild>
        <w:div w:id="225653873">
          <w:marLeft w:val="0"/>
          <w:marRight w:val="0"/>
          <w:marTop w:val="0"/>
          <w:marBottom w:val="0"/>
          <w:divBdr>
            <w:top w:val="none" w:sz="0" w:space="0" w:color="auto"/>
            <w:left w:val="none" w:sz="0" w:space="0" w:color="auto"/>
            <w:bottom w:val="none" w:sz="0" w:space="0" w:color="auto"/>
            <w:right w:val="none" w:sz="0" w:space="0" w:color="auto"/>
          </w:divBdr>
          <w:divsChild>
            <w:div w:id="614335168">
              <w:marLeft w:val="0"/>
              <w:marRight w:val="0"/>
              <w:marTop w:val="270"/>
              <w:marBottom w:val="270"/>
              <w:divBdr>
                <w:top w:val="none" w:sz="0" w:space="0" w:color="auto"/>
                <w:left w:val="none" w:sz="0" w:space="0" w:color="auto"/>
                <w:bottom w:val="none" w:sz="0" w:space="0" w:color="auto"/>
                <w:right w:val="none" w:sz="0" w:space="0" w:color="auto"/>
              </w:divBdr>
              <w:divsChild>
                <w:div w:id="183370596">
                  <w:marLeft w:val="0"/>
                  <w:marRight w:val="0"/>
                  <w:marTop w:val="0"/>
                  <w:marBottom w:val="0"/>
                  <w:divBdr>
                    <w:top w:val="none" w:sz="0" w:space="0" w:color="auto"/>
                    <w:left w:val="none" w:sz="0" w:space="0" w:color="auto"/>
                    <w:bottom w:val="none" w:sz="0" w:space="0" w:color="auto"/>
                    <w:right w:val="none" w:sz="0" w:space="0" w:color="auto"/>
                  </w:divBdr>
                  <w:divsChild>
                    <w:div w:id="204105195">
                      <w:marLeft w:val="0"/>
                      <w:marRight w:val="0"/>
                      <w:marTop w:val="0"/>
                      <w:marBottom w:val="0"/>
                      <w:divBdr>
                        <w:top w:val="none" w:sz="0" w:space="0" w:color="auto"/>
                        <w:left w:val="none" w:sz="0" w:space="0" w:color="auto"/>
                        <w:bottom w:val="none" w:sz="0" w:space="0" w:color="auto"/>
                        <w:right w:val="none" w:sz="0" w:space="0" w:color="auto"/>
                      </w:divBdr>
                      <w:divsChild>
                        <w:div w:id="1938753690">
                          <w:marLeft w:val="0"/>
                          <w:marRight w:val="0"/>
                          <w:marTop w:val="0"/>
                          <w:marBottom w:val="225"/>
                          <w:divBdr>
                            <w:top w:val="none" w:sz="0" w:space="0" w:color="auto"/>
                            <w:left w:val="none" w:sz="0" w:space="0" w:color="auto"/>
                            <w:bottom w:val="none" w:sz="0" w:space="0" w:color="auto"/>
                            <w:right w:val="none" w:sz="0" w:space="0" w:color="auto"/>
                          </w:divBdr>
                          <w:divsChild>
                            <w:div w:id="1134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953321">
      <w:bodyDiv w:val="1"/>
      <w:marLeft w:val="0"/>
      <w:marRight w:val="0"/>
      <w:marTop w:val="0"/>
      <w:marBottom w:val="0"/>
      <w:divBdr>
        <w:top w:val="none" w:sz="0" w:space="0" w:color="auto"/>
        <w:left w:val="none" w:sz="0" w:space="0" w:color="auto"/>
        <w:bottom w:val="none" w:sz="0" w:space="0" w:color="auto"/>
        <w:right w:val="none" w:sz="0" w:space="0" w:color="auto"/>
      </w:divBdr>
      <w:divsChild>
        <w:div w:id="249847942">
          <w:marLeft w:val="0"/>
          <w:marRight w:val="0"/>
          <w:marTop w:val="43"/>
          <w:marBottom w:val="43"/>
          <w:divBdr>
            <w:top w:val="none" w:sz="0" w:space="0" w:color="auto"/>
            <w:left w:val="none" w:sz="0" w:space="0" w:color="auto"/>
            <w:bottom w:val="none" w:sz="0" w:space="0" w:color="auto"/>
            <w:right w:val="none" w:sz="0" w:space="0" w:color="auto"/>
          </w:divBdr>
        </w:div>
        <w:div w:id="263848432">
          <w:marLeft w:val="0"/>
          <w:marRight w:val="0"/>
          <w:marTop w:val="43"/>
          <w:marBottom w:val="43"/>
          <w:divBdr>
            <w:top w:val="none" w:sz="0" w:space="0" w:color="auto"/>
            <w:left w:val="none" w:sz="0" w:space="0" w:color="auto"/>
            <w:bottom w:val="none" w:sz="0" w:space="0" w:color="auto"/>
            <w:right w:val="none" w:sz="0" w:space="0" w:color="auto"/>
          </w:divBdr>
        </w:div>
        <w:div w:id="637686993">
          <w:marLeft w:val="0"/>
          <w:marRight w:val="0"/>
          <w:marTop w:val="43"/>
          <w:marBottom w:val="43"/>
          <w:divBdr>
            <w:top w:val="none" w:sz="0" w:space="0" w:color="auto"/>
            <w:left w:val="none" w:sz="0" w:space="0" w:color="auto"/>
            <w:bottom w:val="none" w:sz="0" w:space="0" w:color="auto"/>
            <w:right w:val="none" w:sz="0" w:space="0" w:color="auto"/>
          </w:divBdr>
        </w:div>
        <w:div w:id="2109038219">
          <w:marLeft w:val="0"/>
          <w:marRight w:val="0"/>
          <w:marTop w:val="43"/>
          <w:marBottom w:val="43"/>
          <w:divBdr>
            <w:top w:val="none" w:sz="0" w:space="0" w:color="auto"/>
            <w:left w:val="none" w:sz="0" w:space="0" w:color="auto"/>
            <w:bottom w:val="none" w:sz="0" w:space="0" w:color="auto"/>
            <w:right w:val="none" w:sz="0" w:space="0" w:color="auto"/>
          </w:divBdr>
        </w:div>
      </w:divsChild>
    </w:div>
    <w:div w:id="1884826698">
      <w:bodyDiv w:val="1"/>
      <w:marLeft w:val="0"/>
      <w:marRight w:val="0"/>
      <w:marTop w:val="0"/>
      <w:marBottom w:val="0"/>
      <w:divBdr>
        <w:top w:val="none" w:sz="0" w:space="0" w:color="auto"/>
        <w:left w:val="none" w:sz="0" w:space="0" w:color="auto"/>
        <w:bottom w:val="none" w:sz="0" w:space="0" w:color="auto"/>
        <w:right w:val="none" w:sz="0" w:space="0" w:color="auto"/>
      </w:divBdr>
      <w:divsChild>
        <w:div w:id="863246144">
          <w:marLeft w:val="0"/>
          <w:marRight w:val="0"/>
          <w:marTop w:val="0"/>
          <w:marBottom w:val="0"/>
          <w:divBdr>
            <w:top w:val="none" w:sz="0" w:space="0" w:color="auto"/>
            <w:left w:val="none" w:sz="0" w:space="0" w:color="auto"/>
            <w:bottom w:val="none" w:sz="0" w:space="0" w:color="auto"/>
            <w:right w:val="none" w:sz="0" w:space="0" w:color="auto"/>
          </w:divBdr>
          <w:divsChild>
            <w:div w:id="1233615975">
              <w:marLeft w:val="0"/>
              <w:marRight w:val="0"/>
              <w:marTop w:val="270"/>
              <w:marBottom w:val="27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1195928468">
                      <w:marLeft w:val="0"/>
                      <w:marRight w:val="0"/>
                      <w:marTop w:val="0"/>
                      <w:marBottom w:val="0"/>
                      <w:divBdr>
                        <w:top w:val="none" w:sz="0" w:space="0" w:color="auto"/>
                        <w:left w:val="none" w:sz="0" w:space="0" w:color="auto"/>
                        <w:bottom w:val="none" w:sz="0" w:space="0" w:color="auto"/>
                        <w:right w:val="none" w:sz="0" w:space="0" w:color="auto"/>
                      </w:divBdr>
                      <w:divsChild>
                        <w:div w:id="1343778405">
                          <w:marLeft w:val="0"/>
                          <w:marRight w:val="0"/>
                          <w:marTop w:val="0"/>
                          <w:marBottom w:val="225"/>
                          <w:divBdr>
                            <w:top w:val="none" w:sz="0" w:space="0" w:color="auto"/>
                            <w:left w:val="none" w:sz="0" w:space="0" w:color="auto"/>
                            <w:bottom w:val="none" w:sz="0" w:space="0" w:color="auto"/>
                            <w:right w:val="none" w:sz="0" w:space="0" w:color="auto"/>
                          </w:divBdr>
                          <w:divsChild>
                            <w:div w:id="896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4479">
      <w:bodyDiv w:val="1"/>
      <w:marLeft w:val="0"/>
      <w:marRight w:val="0"/>
      <w:marTop w:val="0"/>
      <w:marBottom w:val="0"/>
      <w:divBdr>
        <w:top w:val="none" w:sz="0" w:space="0" w:color="auto"/>
        <w:left w:val="none" w:sz="0" w:space="0" w:color="auto"/>
        <w:bottom w:val="none" w:sz="0" w:space="0" w:color="auto"/>
        <w:right w:val="none" w:sz="0" w:space="0" w:color="auto"/>
      </w:divBdr>
      <w:divsChild>
        <w:div w:id="72898851">
          <w:marLeft w:val="0"/>
          <w:marRight w:val="0"/>
          <w:marTop w:val="43"/>
          <w:marBottom w:val="43"/>
          <w:divBdr>
            <w:top w:val="none" w:sz="0" w:space="0" w:color="auto"/>
            <w:left w:val="none" w:sz="0" w:space="0" w:color="auto"/>
            <w:bottom w:val="none" w:sz="0" w:space="0" w:color="auto"/>
            <w:right w:val="none" w:sz="0" w:space="0" w:color="auto"/>
          </w:divBdr>
        </w:div>
        <w:div w:id="73549666">
          <w:marLeft w:val="0"/>
          <w:marRight w:val="0"/>
          <w:marTop w:val="43"/>
          <w:marBottom w:val="43"/>
          <w:divBdr>
            <w:top w:val="none" w:sz="0" w:space="0" w:color="auto"/>
            <w:left w:val="none" w:sz="0" w:space="0" w:color="auto"/>
            <w:bottom w:val="none" w:sz="0" w:space="0" w:color="auto"/>
            <w:right w:val="none" w:sz="0" w:space="0" w:color="auto"/>
          </w:divBdr>
        </w:div>
        <w:div w:id="297492186">
          <w:marLeft w:val="0"/>
          <w:marRight w:val="0"/>
          <w:marTop w:val="43"/>
          <w:marBottom w:val="43"/>
          <w:divBdr>
            <w:top w:val="none" w:sz="0" w:space="0" w:color="auto"/>
            <w:left w:val="none" w:sz="0" w:space="0" w:color="auto"/>
            <w:bottom w:val="none" w:sz="0" w:space="0" w:color="auto"/>
            <w:right w:val="none" w:sz="0" w:space="0" w:color="auto"/>
          </w:divBdr>
        </w:div>
        <w:div w:id="104054646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60ED-AF47-4B31-A523-C4D44A55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1</TotalTime>
  <Pages>4</Pages>
  <Words>1282</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County</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Board of Supervisors</dc:creator>
  <cp:keywords/>
  <cp:lastModifiedBy>Mueller, Jennifer</cp:lastModifiedBy>
  <cp:revision>2</cp:revision>
  <cp:lastPrinted>2020-02-24T17:22:00Z</cp:lastPrinted>
  <dcterms:created xsi:type="dcterms:W3CDTF">2020-11-10T17:30:00Z</dcterms:created>
  <dcterms:modified xsi:type="dcterms:W3CDTF">2020-11-10T17:30:00Z</dcterms:modified>
</cp:coreProperties>
</file>