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B8E6" w14:textId="549A8DA0"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5979CD">
        <w:rPr>
          <w:rFonts w:ascii="Arial" w:hAnsi="Arial" w:cs="Arial"/>
          <w:sz w:val="24"/>
          <w:szCs w:val="24"/>
        </w:rPr>
        <w:t>20</w:t>
      </w:r>
      <w:r w:rsidR="00D52C78">
        <w:rPr>
          <w:rFonts w:ascii="Arial" w:hAnsi="Arial" w:cs="Arial"/>
          <w:sz w:val="24"/>
          <w:szCs w:val="24"/>
        </w:rPr>
        <w:t>-</w:t>
      </w:r>
      <w:r w:rsidR="005860DB">
        <w:rPr>
          <w:rFonts w:ascii="Arial" w:hAnsi="Arial" w:cs="Arial"/>
          <w:sz w:val="24"/>
          <w:szCs w:val="24"/>
        </w:rPr>
        <w:t>759</w:t>
      </w:r>
    </w:p>
    <w:p w14:paraId="175624FA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5ED557FF" w14:textId="554024CB"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F120C3">
        <w:rPr>
          <w:rFonts w:ascii="Arial" w:hAnsi="Arial" w:cs="Arial"/>
          <w:sz w:val="24"/>
          <w:szCs w:val="24"/>
        </w:rPr>
        <w:t>t</w:t>
      </w:r>
      <w:r w:rsidR="00272734">
        <w:rPr>
          <w:rFonts w:ascii="Arial" w:hAnsi="Arial" w:cs="Arial"/>
          <w:sz w:val="24"/>
          <w:szCs w:val="24"/>
        </w:rPr>
        <w:t>en</w:t>
      </w:r>
      <w:r w:rsidR="002B33F1">
        <w:rPr>
          <w:rFonts w:ascii="Arial" w:hAnsi="Arial" w:cs="Arial"/>
          <w:sz w:val="24"/>
          <w:szCs w:val="24"/>
        </w:rPr>
        <w:t>,</w:t>
      </w:r>
      <w:r w:rsidR="00132079">
        <w:rPr>
          <w:rFonts w:ascii="Arial" w:hAnsi="Arial" w:cs="Arial"/>
          <w:sz w:val="24"/>
          <w:szCs w:val="24"/>
        </w:rPr>
        <w:t xml:space="preserve"> </w:t>
      </w:r>
      <w:r w:rsidR="00272734" w:rsidRPr="00272734">
        <w:rPr>
          <w:rFonts w:ascii="Arial" w:hAnsi="Arial" w:cs="Arial"/>
          <w:sz w:val="24"/>
          <w:szCs w:val="24"/>
        </w:rPr>
        <w:t xml:space="preserve">Hourly Emergency Medical Services Lieutenant </w:t>
      </w:r>
      <w:r w:rsidR="00132079">
        <w:rPr>
          <w:rFonts w:ascii="Arial" w:hAnsi="Arial" w:cs="Arial"/>
          <w:sz w:val="24"/>
          <w:szCs w:val="24"/>
        </w:rPr>
        <w:t>p</w:t>
      </w:r>
      <w:r w:rsidR="00A90F64" w:rsidRPr="00D52C78">
        <w:rPr>
          <w:rFonts w:ascii="Arial" w:hAnsi="Arial" w:cs="Arial"/>
          <w:sz w:val="24"/>
          <w:szCs w:val="24"/>
        </w:rPr>
        <w:t>osition</w:t>
      </w:r>
      <w:r w:rsidR="00F120C3">
        <w:rPr>
          <w:rFonts w:ascii="Arial" w:hAnsi="Arial" w:cs="Arial"/>
          <w:sz w:val="24"/>
          <w:szCs w:val="24"/>
        </w:rPr>
        <w:t>s</w:t>
      </w:r>
      <w:r w:rsidR="00A90F64" w:rsidRPr="00D52C78">
        <w:rPr>
          <w:rFonts w:ascii="Arial" w:hAnsi="Arial" w:cs="Arial"/>
          <w:sz w:val="24"/>
          <w:szCs w:val="24"/>
        </w:rPr>
        <w:t xml:space="preserve"> (title cod</w:t>
      </w:r>
      <w:r w:rsidR="00D52C78">
        <w:rPr>
          <w:rFonts w:ascii="Arial" w:hAnsi="Arial" w:cs="Arial"/>
          <w:sz w:val="24"/>
          <w:szCs w:val="24"/>
        </w:rPr>
        <w:t>e</w:t>
      </w:r>
      <w:r w:rsidR="00132079">
        <w:rPr>
          <w:rFonts w:ascii="Arial" w:hAnsi="Arial" w:cs="Arial"/>
          <w:sz w:val="24"/>
          <w:szCs w:val="24"/>
        </w:rPr>
        <w:t xml:space="preserve"> </w:t>
      </w:r>
      <w:r w:rsidR="00CC294B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 xml:space="preserve">, pay grade </w:t>
      </w:r>
      <w:r w:rsidR="00272734">
        <w:rPr>
          <w:rFonts w:ascii="Arial" w:hAnsi="Arial" w:cs="Arial"/>
          <w:sz w:val="24"/>
          <w:szCs w:val="24"/>
        </w:rPr>
        <w:t>22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</w:t>
      </w:r>
      <w:r w:rsidR="00221C57">
        <w:rPr>
          <w:rFonts w:ascii="Arial" w:hAnsi="Arial" w:cs="Arial"/>
          <w:sz w:val="24"/>
          <w:szCs w:val="24"/>
        </w:rPr>
        <w:t>the</w:t>
      </w:r>
      <w:r w:rsidR="00F120C3">
        <w:rPr>
          <w:rFonts w:ascii="Arial" w:hAnsi="Arial" w:cs="Arial"/>
          <w:sz w:val="24"/>
          <w:szCs w:val="24"/>
        </w:rPr>
        <w:t xml:space="preserve"> Office of Emergency Management</w:t>
      </w:r>
      <w:r w:rsidR="00AD15C8">
        <w:rPr>
          <w:rFonts w:ascii="Arial" w:hAnsi="Arial" w:cs="Arial"/>
          <w:sz w:val="24"/>
          <w:szCs w:val="24"/>
        </w:rPr>
        <w:t xml:space="preserve"> </w:t>
      </w:r>
      <w:bookmarkEnd w:id="0"/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14:paraId="399DAEEC" w14:textId="77777777" w:rsidR="000F3EEA" w:rsidRPr="007A60CC" w:rsidRDefault="000F3EEA">
      <w:pPr>
        <w:rPr>
          <w:rFonts w:ascii="Arial" w:hAnsi="Arial" w:cs="Arial"/>
          <w:sz w:val="22"/>
          <w:szCs w:val="24"/>
        </w:rPr>
      </w:pPr>
    </w:p>
    <w:p w14:paraId="714C730A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1CE648A3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497D4E63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6734F624" w14:textId="7E063F4B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 xml:space="preserve">classification of </w:t>
      </w:r>
      <w:r w:rsidR="00F120C3">
        <w:rPr>
          <w:rFonts w:ascii="Arial" w:hAnsi="Arial" w:cs="Arial"/>
        </w:rPr>
        <w:t>t</w:t>
      </w:r>
      <w:r w:rsidR="00272734">
        <w:rPr>
          <w:rFonts w:ascii="Arial" w:hAnsi="Arial" w:cs="Arial"/>
        </w:rPr>
        <w:t>en</w:t>
      </w:r>
      <w:r w:rsidR="00207AAE">
        <w:rPr>
          <w:rFonts w:ascii="Arial" w:hAnsi="Arial" w:cs="Arial"/>
        </w:rPr>
        <w:t xml:space="preserve">, </w:t>
      </w:r>
      <w:r w:rsidR="00272734" w:rsidRPr="00272734">
        <w:rPr>
          <w:rFonts w:ascii="Arial" w:hAnsi="Arial" w:cs="Arial"/>
        </w:rPr>
        <w:t xml:space="preserve">Hourly Emergency Medical Services Lieutenant </w:t>
      </w:r>
      <w:r w:rsidR="001C49EE">
        <w:rPr>
          <w:rFonts w:ascii="Arial" w:hAnsi="Arial" w:cs="Arial"/>
        </w:rPr>
        <w:t>position</w:t>
      </w:r>
      <w:r w:rsidR="00F120C3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; and</w:t>
      </w:r>
    </w:p>
    <w:p w14:paraId="75D3BC89" w14:textId="77777777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56F4BE77" w14:textId="18C3E946"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request to </w:t>
      </w:r>
      <w:r w:rsidR="00E61183"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z w:val="24"/>
          <w:szCs w:val="24"/>
        </w:rPr>
        <w:t xml:space="preserve"> the position</w:t>
      </w:r>
      <w:r w:rsidR="00F120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being reviewed separately by the Committee on Finance a</w:t>
      </w:r>
      <w:r w:rsidR="00F120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 of File No. XX-XX; and</w:t>
      </w:r>
    </w:p>
    <w:p w14:paraId="063BCE40" w14:textId="77777777"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14:paraId="3F6419C2" w14:textId="77777777"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7E3CFD44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14:paraId="04CD1916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14:paraId="4B480C60" w14:textId="77777777"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14:paraId="260F9F3C" w14:textId="77777777"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</w:t>
      </w:r>
      <w:proofErr w:type="gramStart"/>
      <w:r w:rsidRPr="00D52C78">
        <w:rPr>
          <w:rFonts w:ascii="Arial" w:hAnsi="Arial" w:cs="Arial"/>
          <w:sz w:val="24"/>
          <w:szCs w:val="24"/>
        </w:rPr>
        <w:t>RESOLVED,</w:t>
      </w:r>
      <w:proofErr w:type="gramEnd"/>
      <w:r w:rsidRPr="00D52C78">
        <w:rPr>
          <w:rFonts w:ascii="Arial" w:hAnsi="Arial" w:cs="Arial"/>
          <w:sz w:val="24"/>
          <w:szCs w:val="24"/>
        </w:rPr>
        <w:t xml:space="preserve">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14:paraId="405C8AE7" w14:textId="77777777" w:rsidR="004B16FE" w:rsidRPr="00D52C78" w:rsidRDefault="004B16FE" w:rsidP="00207AA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850"/>
      </w:tblGrid>
      <w:tr w:rsidR="00272734" w:rsidRPr="00B96D3E" w14:paraId="5C81ACAE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78D8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bookmarkStart w:id="1" w:name="_Hlk38540784"/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Recommended Title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E9B5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bookmarkStart w:id="2" w:name="_Hlk52543349"/>
            <w:r>
              <w:rPr>
                <w:rFonts w:ascii="Arial" w:hAnsi="Arial" w:cs="Arial"/>
              </w:rPr>
              <w:t>Hourly Emergency Medical Services Lieutenant</w:t>
            </w:r>
            <w:bookmarkEnd w:id="2"/>
          </w:p>
        </w:tc>
      </w:tr>
      <w:tr w:rsidR="00272734" w:rsidRPr="00B96D3E" w14:paraId="1A3564BB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66A6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High Org. - Department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ED88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4800 – Office of Emergency Management</w:t>
            </w:r>
          </w:p>
        </w:tc>
      </w:tr>
      <w:tr w:rsidR="00272734" w:rsidRPr="00B96D3E" w14:paraId="2AD16F55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2A2F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Low Org. - Division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1528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4845 – Emergency Medical Services Division</w:t>
            </w:r>
          </w:p>
        </w:tc>
      </w:tr>
      <w:tr w:rsidR="00272734" w:rsidRPr="00B96D3E" w14:paraId="1671D74A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D483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Title Code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8E1D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determined</w:t>
            </w:r>
          </w:p>
        </w:tc>
      </w:tr>
      <w:tr w:rsidR="00272734" w:rsidRPr="00B96D3E" w14:paraId="62637DD3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E2D0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Number of Positions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107F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72734" w:rsidRPr="00B96D3E" w14:paraId="16BEF85C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EF81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Pay Grade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F844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72734" w:rsidRPr="00B96D3E" w14:paraId="56A21E28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A8FB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Step 01 (Annual)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6A91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$49,312</w:t>
            </w:r>
          </w:p>
        </w:tc>
      </w:tr>
      <w:tr w:rsidR="00272734" w:rsidRPr="00B96D3E" w14:paraId="3822C0DC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CA70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Step 02 (Annual)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DF5C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$51,325</w:t>
            </w:r>
          </w:p>
        </w:tc>
      </w:tr>
      <w:tr w:rsidR="00272734" w:rsidRPr="00B96D3E" w14:paraId="40CB0AE4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9C1A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Step 03 (Annual)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65AA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$52,996</w:t>
            </w:r>
          </w:p>
        </w:tc>
      </w:tr>
      <w:tr w:rsidR="00272734" w:rsidRPr="00B96D3E" w14:paraId="40E12B9F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A864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Step 04 (Annual)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DCD2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$54,739</w:t>
            </w:r>
          </w:p>
        </w:tc>
      </w:tr>
      <w:tr w:rsidR="00272734" w:rsidRPr="00B96D3E" w14:paraId="25AED82A" w14:textId="77777777" w:rsidTr="00624D90"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499B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B96D3E">
              <w:rPr>
                <w:rFonts w:ascii="Arial" w:hAnsi="Arial" w:cs="Arial"/>
                <w:color w:val="201F1E"/>
                <w:bdr w:val="none" w:sz="0" w:space="0" w:color="auto" w:frame="1"/>
              </w:rPr>
              <w:t>Step 05 (Annual)</w:t>
            </w: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86CB" w14:textId="77777777" w:rsidR="00272734" w:rsidRPr="00B96D3E" w:rsidRDefault="00272734" w:rsidP="00624D90">
            <w:pPr>
              <w:pStyle w:val="NormalWeb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$53,813</w:t>
            </w:r>
          </w:p>
        </w:tc>
      </w:tr>
      <w:bookmarkEnd w:id="1"/>
    </w:tbl>
    <w:p w14:paraId="10819B87" w14:textId="77777777"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4C57" w14:textId="77777777" w:rsidR="00A440EC" w:rsidRDefault="00A440EC">
      <w:r>
        <w:separator/>
      </w:r>
    </w:p>
  </w:endnote>
  <w:endnote w:type="continuationSeparator" w:id="0">
    <w:p w14:paraId="1E4A5BEF" w14:textId="77777777"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8511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24985E" w14:textId="77777777"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AB9D" w14:textId="77777777" w:rsidR="00E34D97" w:rsidRDefault="00E34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3A55" w14:textId="77777777" w:rsidR="007D6A04" w:rsidRDefault="007D6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3E58" w14:textId="77777777" w:rsidR="00A440EC" w:rsidRDefault="00A440EC">
      <w:r>
        <w:separator/>
      </w:r>
    </w:p>
  </w:footnote>
  <w:footnote w:type="continuationSeparator" w:id="0">
    <w:p w14:paraId="12A9981A" w14:textId="77777777"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C1AD" w14:textId="77777777" w:rsidR="007D6A04" w:rsidRDefault="007D6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8CD8" w14:textId="77777777" w:rsidR="00E34D97" w:rsidRPr="00CA4755" w:rsidRDefault="00E34D97" w:rsidP="00CA4755">
    <w:pPr>
      <w:rPr>
        <w:rFonts w:ascii="CG Omega" w:hAnsi="CG Omega"/>
        <w:sz w:val="24"/>
        <w:szCs w:val="24"/>
      </w:rPr>
    </w:pPr>
  </w:p>
  <w:p w14:paraId="19041FD9" w14:textId="77777777" w:rsidR="00E34D97" w:rsidRDefault="00E34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3DE0" w14:textId="77777777" w:rsidR="007D6A04" w:rsidRDefault="007D6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4242"/>
    <w:rsid w:val="000F7D2A"/>
    <w:rsid w:val="00106086"/>
    <w:rsid w:val="00132079"/>
    <w:rsid w:val="00133911"/>
    <w:rsid w:val="00136DC3"/>
    <w:rsid w:val="001433CA"/>
    <w:rsid w:val="00166038"/>
    <w:rsid w:val="00192A52"/>
    <w:rsid w:val="001A48FC"/>
    <w:rsid w:val="001B1FEA"/>
    <w:rsid w:val="001B48FB"/>
    <w:rsid w:val="001C42C4"/>
    <w:rsid w:val="001C49EE"/>
    <w:rsid w:val="001D5370"/>
    <w:rsid w:val="001E05E3"/>
    <w:rsid w:val="001E2AC0"/>
    <w:rsid w:val="001F6B55"/>
    <w:rsid w:val="002017DA"/>
    <w:rsid w:val="00207AAE"/>
    <w:rsid w:val="00217079"/>
    <w:rsid w:val="00221C57"/>
    <w:rsid w:val="00234663"/>
    <w:rsid w:val="00241E08"/>
    <w:rsid w:val="00243849"/>
    <w:rsid w:val="00247636"/>
    <w:rsid w:val="002519B3"/>
    <w:rsid w:val="002545E5"/>
    <w:rsid w:val="00272734"/>
    <w:rsid w:val="00272797"/>
    <w:rsid w:val="00282051"/>
    <w:rsid w:val="00283B02"/>
    <w:rsid w:val="002B33F1"/>
    <w:rsid w:val="002D37EF"/>
    <w:rsid w:val="002F4EFA"/>
    <w:rsid w:val="0030298C"/>
    <w:rsid w:val="00313B86"/>
    <w:rsid w:val="00313CAC"/>
    <w:rsid w:val="003160CB"/>
    <w:rsid w:val="00322B55"/>
    <w:rsid w:val="00325B55"/>
    <w:rsid w:val="00327683"/>
    <w:rsid w:val="00330973"/>
    <w:rsid w:val="00340A0E"/>
    <w:rsid w:val="003603FF"/>
    <w:rsid w:val="003620F0"/>
    <w:rsid w:val="00382E1E"/>
    <w:rsid w:val="00387AC8"/>
    <w:rsid w:val="00390EE9"/>
    <w:rsid w:val="00397EC8"/>
    <w:rsid w:val="003A2604"/>
    <w:rsid w:val="003C2FAC"/>
    <w:rsid w:val="003C6412"/>
    <w:rsid w:val="003D11C0"/>
    <w:rsid w:val="0040562C"/>
    <w:rsid w:val="00420C21"/>
    <w:rsid w:val="00424CD2"/>
    <w:rsid w:val="0043209C"/>
    <w:rsid w:val="0044164C"/>
    <w:rsid w:val="0044462A"/>
    <w:rsid w:val="00450DEE"/>
    <w:rsid w:val="00467320"/>
    <w:rsid w:val="004832C1"/>
    <w:rsid w:val="00495220"/>
    <w:rsid w:val="004B16FE"/>
    <w:rsid w:val="004B44F3"/>
    <w:rsid w:val="004D20C5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847F6"/>
    <w:rsid w:val="005860DB"/>
    <w:rsid w:val="005952DA"/>
    <w:rsid w:val="005979CD"/>
    <w:rsid w:val="00597F75"/>
    <w:rsid w:val="005A16C6"/>
    <w:rsid w:val="005B1B85"/>
    <w:rsid w:val="005C4C2F"/>
    <w:rsid w:val="005E19BE"/>
    <w:rsid w:val="005E1D3F"/>
    <w:rsid w:val="005E3CB0"/>
    <w:rsid w:val="005F1C94"/>
    <w:rsid w:val="00601392"/>
    <w:rsid w:val="00602000"/>
    <w:rsid w:val="006058F2"/>
    <w:rsid w:val="00605B1B"/>
    <w:rsid w:val="00606160"/>
    <w:rsid w:val="006700E4"/>
    <w:rsid w:val="00686951"/>
    <w:rsid w:val="00695A19"/>
    <w:rsid w:val="00697B60"/>
    <w:rsid w:val="006A27AD"/>
    <w:rsid w:val="006A4F91"/>
    <w:rsid w:val="006A75BC"/>
    <w:rsid w:val="006B2498"/>
    <w:rsid w:val="006B2890"/>
    <w:rsid w:val="006B3E75"/>
    <w:rsid w:val="006B4A12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A60CC"/>
    <w:rsid w:val="007B2F23"/>
    <w:rsid w:val="007C0A41"/>
    <w:rsid w:val="007C17D7"/>
    <w:rsid w:val="007D1FA2"/>
    <w:rsid w:val="007D6A04"/>
    <w:rsid w:val="007E1712"/>
    <w:rsid w:val="0080745E"/>
    <w:rsid w:val="00831EB8"/>
    <w:rsid w:val="00836242"/>
    <w:rsid w:val="00837859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A5027"/>
    <w:rsid w:val="009B61CF"/>
    <w:rsid w:val="009C72A8"/>
    <w:rsid w:val="009E1A06"/>
    <w:rsid w:val="009E5CB9"/>
    <w:rsid w:val="00A41620"/>
    <w:rsid w:val="00A42CDF"/>
    <w:rsid w:val="00A440EC"/>
    <w:rsid w:val="00A576A2"/>
    <w:rsid w:val="00A62BD2"/>
    <w:rsid w:val="00A64E3C"/>
    <w:rsid w:val="00A729F1"/>
    <w:rsid w:val="00A86CF3"/>
    <w:rsid w:val="00A90F64"/>
    <w:rsid w:val="00A96616"/>
    <w:rsid w:val="00AA3001"/>
    <w:rsid w:val="00AB169D"/>
    <w:rsid w:val="00AB596F"/>
    <w:rsid w:val="00AC44AB"/>
    <w:rsid w:val="00AD1290"/>
    <w:rsid w:val="00AD15C8"/>
    <w:rsid w:val="00AD540C"/>
    <w:rsid w:val="00AE344F"/>
    <w:rsid w:val="00AF0093"/>
    <w:rsid w:val="00AF633A"/>
    <w:rsid w:val="00B01324"/>
    <w:rsid w:val="00B04F60"/>
    <w:rsid w:val="00B15331"/>
    <w:rsid w:val="00B31A18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BE4641"/>
    <w:rsid w:val="00C449D3"/>
    <w:rsid w:val="00C47BE4"/>
    <w:rsid w:val="00C878D2"/>
    <w:rsid w:val="00C93E8D"/>
    <w:rsid w:val="00CA4755"/>
    <w:rsid w:val="00CA6246"/>
    <w:rsid w:val="00CB4F35"/>
    <w:rsid w:val="00CC294B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B6222"/>
    <w:rsid w:val="00DC7306"/>
    <w:rsid w:val="00DD0D9A"/>
    <w:rsid w:val="00DE0A8B"/>
    <w:rsid w:val="00DE7ADB"/>
    <w:rsid w:val="00DF56E1"/>
    <w:rsid w:val="00E12CFF"/>
    <w:rsid w:val="00E164FC"/>
    <w:rsid w:val="00E24460"/>
    <w:rsid w:val="00E34D97"/>
    <w:rsid w:val="00E57559"/>
    <w:rsid w:val="00E61183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0C3"/>
    <w:rsid w:val="00F12E72"/>
    <w:rsid w:val="00F249CB"/>
    <w:rsid w:val="00F269BF"/>
    <w:rsid w:val="00F4245B"/>
    <w:rsid w:val="00F63DDD"/>
    <w:rsid w:val="00F73080"/>
    <w:rsid w:val="00F839E9"/>
    <w:rsid w:val="00F94964"/>
    <w:rsid w:val="00FA7F5E"/>
    <w:rsid w:val="00FE664F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ED3FB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AA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9</cp:revision>
  <cp:lastPrinted>2019-12-12T20:46:00Z</cp:lastPrinted>
  <dcterms:created xsi:type="dcterms:W3CDTF">2020-08-05T23:51:00Z</dcterms:created>
  <dcterms:modified xsi:type="dcterms:W3CDTF">2020-10-02T20:26:00Z</dcterms:modified>
</cp:coreProperties>
</file>