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1F" w:rsidRPr="00DB61CE" w:rsidRDefault="00C1261F" w:rsidP="00C1261F">
      <w:pPr>
        <w:pStyle w:val="ListParagraph"/>
        <w:ind w:left="0"/>
      </w:pPr>
      <w:r w:rsidRPr="00DB61CE">
        <w:t>By Supervisor</w:t>
      </w:r>
      <w:r w:rsidR="00FF130C">
        <w:t xml:space="preserve"> Taylor</w:t>
      </w:r>
      <w:r w:rsidR="00AB274B">
        <w:tab/>
      </w:r>
      <w:r w:rsidR="00AB274B">
        <w:tab/>
      </w:r>
      <w:r w:rsidR="00AB274B">
        <w:tab/>
      </w:r>
      <w:r w:rsidR="00AB274B">
        <w:tab/>
      </w:r>
      <w:r w:rsidR="00AB274B">
        <w:tab/>
      </w:r>
      <w:r w:rsidR="007C4E30">
        <w:tab/>
      </w:r>
      <w:r w:rsidR="007C4E30">
        <w:tab/>
      </w:r>
      <w:r w:rsidR="00D4331A">
        <w:t xml:space="preserve">       </w:t>
      </w:r>
      <w:r w:rsidR="003D10FA">
        <w:t xml:space="preserve">File No. </w:t>
      </w:r>
      <w:r w:rsidR="00780741">
        <w:t>20</w:t>
      </w:r>
      <w:r w:rsidR="00E5619C">
        <w:t>-</w:t>
      </w:r>
      <w:r w:rsidR="00B9541B">
        <w:t>548</w:t>
      </w:r>
    </w:p>
    <w:p w:rsidR="00C1261F" w:rsidRDefault="00C1261F" w:rsidP="00C1261F">
      <w:pPr>
        <w:pStyle w:val="ListParagraph"/>
        <w:ind w:left="0"/>
        <w:jc w:val="center"/>
        <w:rPr>
          <w:b/>
        </w:rPr>
      </w:pPr>
    </w:p>
    <w:p w:rsidR="00DB64DB" w:rsidRPr="00DB61CE" w:rsidRDefault="00DB64DB" w:rsidP="00C1261F">
      <w:pPr>
        <w:pStyle w:val="ListParagraph"/>
        <w:ind w:left="0"/>
        <w:jc w:val="center"/>
        <w:rPr>
          <w:b/>
        </w:rPr>
      </w:pPr>
    </w:p>
    <w:p w:rsidR="005A4159" w:rsidRDefault="006D354B" w:rsidP="005A4159">
      <w:pPr>
        <w:pStyle w:val="ListParagraph"/>
        <w:ind w:left="0"/>
        <w:jc w:val="center"/>
        <w:rPr>
          <w:b/>
        </w:rPr>
      </w:pPr>
      <w:r>
        <w:rPr>
          <w:b/>
        </w:rPr>
        <w:t>A RESOLUTION</w:t>
      </w:r>
    </w:p>
    <w:p w:rsidR="0007456D" w:rsidRDefault="0007456D" w:rsidP="00106937">
      <w:pPr>
        <w:pStyle w:val="ListParagraph"/>
        <w:ind w:left="0"/>
        <w:rPr>
          <w:b/>
        </w:rPr>
      </w:pPr>
    </w:p>
    <w:p w:rsidR="00D4331A" w:rsidRDefault="00FF130C" w:rsidP="00FF130C">
      <w:pPr>
        <w:pStyle w:val="ListParagraph"/>
        <w:ind w:left="0"/>
        <w:jc w:val="center"/>
      </w:pPr>
      <w:r>
        <w:t>Authorizing and directing the Department of Parks, Recreation, and Culture to change the name of Wahl Park to Harriet Tubman Park and processing a fund transfer request in the amount of $9,750 from Org. Unit 1800-1945 – Appropriation for Contingencies to an appropriate account within Org. Unit 9000 – Department of Parks, Recreation, and Culture</w:t>
      </w:r>
    </w:p>
    <w:p w:rsidR="00DB64DB" w:rsidRDefault="00DB64DB" w:rsidP="00D4331A">
      <w:pPr>
        <w:pStyle w:val="ListParagraph"/>
        <w:ind w:left="0"/>
      </w:pPr>
    </w:p>
    <w:p w:rsidR="00DB64DB" w:rsidRDefault="00DB64DB" w:rsidP="00D4331A">
      <w:pPr>
        <w:pStyle w:val="ListParagraph"/>
        <w:ind w:left="0"/>
      </w:pPr>
    </w:p>
    <w:p w:rsidR="00DB64DB" w:rsidRDefault="00DB64DB" w:rsidP="00FF130C">
      <w:pPr>
        <w:pStyle w:val="ListParagraph"/>
        <w:ind w:left="0" w:firstLine="720"/>
      </w:pPr>
      <w:r>
        <w:t>WHEREAS</w:t>
      </w:r>
      <w:r w:rsidR="00FF130C">
        <w:t>, Wahl Park is</w:t>
      </w:r>
      <w:r w:rsidR="00DC2E0D">
        <w:t xml:space="preserve"> </w:t>
      </w:r>
      <w:r w:rsidR="00FF130C">
        <w:t>located in the City of Milwaukee, near West Hampton Avenue and North 47</w:t>
      </w:r>
      <w:r w:rsidR="00FF130C" w:rsidRPr="00FF130C">
        <w:rPr>
          <w:vertAlign w:val="superscript"/>
        </w:rPr>
        <w:t>th</w:t>
      </w:r>
      <w:r w:rsidR="00FF130C">
        <w:t xml:space="preserve"> Street; and</w:t>
      </w:r>
    </w:p>
    <w:p w:rsidR="00FF130C" w:rsidRDefault="00FF130C" w:rsidP="00FF130C">
      <w:pPr>
        <w:pStyle w:val="ListParagraph"/>
        <w:ind w:left="0" w:firstLine="720"/>
      </w:pPr>
    </w:p>
    <w:p w:rsidR="00FF130C" w:rsidRDefault="00FF130C" w:rsidP="00FF130C">
      <w:pPr>
        <w:pStyle w:val="ListParagraph"/>
        <w:ind w:left="0" w:firstLine="720"/>
      </w:pPr>
      <w:r>
        <w:t xml:space="preserve">WHEREAS, </w:t>
      </w:r>
      <w:r w:rsidR="00DC2E0D">
        <w:t>Wahl Park contains many amenities for the community including a wading pool, basketball court, pavilion, children’s play area, and several acres of green space; and</w:t>
      </w:r>
    </w:p>
    <w:p w:rsidR="00DC2E0D" w:rsidRDefault="00DC2E0D" w:rsidP="00FF130C">
      <w:pPr>
        <w:pStyle w:val="ListParagraph"/>
        <w:ind w:left="0" w:firstLine="720"/>
      </w:pPr>
    </w:p>
    <w:p w:rsidR="00DC2E0D" w:rsidRDefault="00DC2E0D" w:rsidP="00FF130C">
      <w:pPr>
        <w:pStyle w:val="ListParagraph"/>
        <w:ind w:left="0" w:firstLine="720"/>
      </w:pPr>
      <w:r>
        <w:t>WHEREAS, Wahl Park was created in 1956 and named after Christian Wahl, the first President of the Board of City Park Commissioners</w:t>
      </w:r>
      <w:r w:rsidR="00760FAE">
        <w:t xml:space="preserve"> and architect of the Milwaukee County Parks System, along with Charles Whitnall</w:t>
      </w:r>
      <w:r>
        <w:t>; and</w:t>
      </w:r>
    </w:p>
    <w:p w:rsidR="00DC2E0D" w:rsidRDefault="00DC2E0D" w:rsidP="00FF130C">
      <w:pPr>
        <w:pStyle w:val="ListParagraph"/>
        <w:ind w:left="0" w:firstLine="720"/>
      </w:pPr>
    </w:p>
    <w:p w:rsidR="00DC2E0D" w:rsidRDefault="00DC2E0D" w:rsidP="00FF130C">
      <w:pPr>
        <w:pStyle w:val="ListParagraph"/>
        <w:ind w:left="0" w:firstLine="720"/>
      </w:pPr>
      <w:r>
        <w:t>WHEREAS, the area surrounding Wahl Park is primarily residential and its many amenities provide valuable recreation opportunities to the nearby neighborhoods; and</w:t>
      </w:r>
    </w:p>
    <w:p w:rsidR="00DC2E0D" w:rsidRDefault="00DC2E0D" w:rsidP="00FF130C">
      <w:pPr>
        <w:pStyle w:val="ListParagraph"/>
        <w:ind w:left="0" w:firstLine="720"/>
      </w:pPr>
    </w:p>
    <w:p w:rsidR="00DC2E0D" w:rsidRDefault="00DC2E0D" w:rsidP="00FF130C">
      <w:pPr>
        <w:pStyle w:val="ListParagraph"/>
        <w:ind w:left="0" w:firstLine="720"/>
      </w:pPr>
      <w:r>
        <w:t xml:space="preserve">WHEREAS, </w:t>
      </w:r>
      <w:r w:rsidR="00404BFA">
        <w:t>the Wahl Park neighborhood and surrounding neighborhoods are primarily home to communities of color; and</w:t>
      </w:r>
    </w:p>
    <w:p w:rsidR="00404BFA" w:rsidRDefault="00404BFA" w:rsidP="00FF130C">
      <w:pPr>
        <w:pStyle w:val="ListParagraph"/>
        <w:ind w:left="0" w:firstLine="720"/>
      </w:pPr>
    </w:p>
    <w:p w:rsidR="00404BFA" w:rsidRDefault="00404BFA" w:rsidP="00FF130C">
      <w:pPr>
        <w:pStyle w:val="ListParagraph"/>
        <w:ind w:left="0" w:firstLine="720"/>
      </w:pPr>
      <w:r>
        <w:t>WHEREAS, rethinking the conventions of naming monuments, statues, landmarks, and parks is important as national conversation has examined the reasoning behind a chosen name; and</w:t>
      </w:r>
    </w:p>
    <w:p w:rsidR="00404BFA" w:rsidRDefault="00404BFA" w:rsidP="00FF130C">
      <w:pPr>
        <w:pStyle w:val="ListParagraph"/>
        <w:ind w:left="0" w:firstLine="720"/>
      </w:pPr>
    </w:p>
    <w:p w:rsidR="00404BFA" w:rsidRDefault="00404BFA" w:rsidP="00FF130C">
      <w:pPr>
        <w:pStyle w:val="ListParagraph"/>
        <w:ind w:left="0" w:firstLine="720"/>
      </w:pPr>
      <w:r>
        <w:t>WHEREAS, the naming of a monument reflects who</w:t>
      </w:r>
      <w:r w:rsidR="00AB45CA">
        <w:t xml:space="preserve"> and what we think is important, as well as our values as a community; and</w:t>
      </w:r>
    </w:p>
    <w:p w:rsidR="00AB45CA" w:rsidRDefault="00AB45CA" w:rsidP="00FF130C">
      <w:pPr>
        <w:pStyle w:val="ListParagraph"/>
        <w:ind w:left="0" w:firstLine="720"/>
      </w:pPr>
    </w:p>
    <w:p w:rsidR="00AB45CA" w:rsidRDefault="00AB45CA" w:rsidP="00FF130C">
      <w:pPr>
        <w:pStyle w:val="ListParagraph"/>
        <w:ind w:left="0" w:firstLine="720"/>
      </w:pPr>
      <w:r>
        <w:t>WHEREAS, Milwaukee County is committed to ensuring that its monuments, including its parks, are named after those individuals or communities that reflect our County’s dedication to racial equity; and</w:t>
      </w:r>
    </w:p>
    <w:p w:rsidR="00AB45CA" w:rsidRDefault="00AB45CA" w:rsidP="00B9541B">
      <w:pPr>
        <w:pStyle w:val="ListParagraph"/>
        <w:suppressLineNumbers/>
        <w:ind w:left="0" w:firstLine="720"/>
      </w:pPr>
      <w:bookmarkStart w:id="0" w:name="_GoBack"/>
      <w:bookmarkEnd w:id="0"/>
    </w:p>
    <w:p w:rsidR="00AB45CA" w:rsidRDefault="00AB45CA" w:rsidP="00AB45CA">
      <w:pPr>
        <w:pStyle w:val="ListParagraph"/>
        <w:ind w:left="0" w:firstLine="720"/>
      </w:pPr>
      <w:r>
        <w:lastRenderedPageBreak/>
        <w:t>WHEREAS, because the Wahl Park and surrounding neighborhoods are home to communities of color, its park should reflect its own residents; now, therefore,</w:t>
      </w:r>
    </w:p>
    <w:p w:rsidR="00AB45CA" w:rsidRDefault="00AB45CA" w:rsidP="00AB45CA">
      <w:pPr>
        <w:pStyle w:val="ListParagraph"/>
        <w:ind w:left="0" w:firstLine="720"/>
      </w:pPr>
    </w:p>
    <w:p w:rsidR="00AB45CA" w:rsidRDefault="00AB45CA" w:rsidP="00AB45CA">
      <w:pPr>
        <w:pStyle w:val="ListParagraph"/>
        <w:ind w:left="0" w:firstLine="720"/>
      </w:pPr>
      <w:r>
        <w:t>BE IT RESOLVED, that the Milwaukee County Board of Supervisors hereby authorizes and directs the Department of Parks, Recreation, and Culture to change the name of Wahl Park to Harriet Tubman Park; and</w:t>
      </w:r>
    </w:p>
    <w:p w:rsidR="00AB45CA" w:rsidRDefault="00AB45CA" w:rsidP="00AB45CA">
      <w:pPr>
        <w:pStyle w:val="ListParagraph"/>
        <w:ind w:left="0" w:firstLine="720"/>
      </w:pPr>
    </w:p>
    <w:p w:rsidR="00404BFA" w:rsidRPr="00D4331A" w:rsidRDefault="00AB45CA" w:rsidP="00FF130C">
      <w:pPr>
        <w:pStyle w:val="ListParagraph"/>
        <w:ind w:left="0" w:firstLine="720"/>
      </w:pPr>
      <w:r>
        <w:t>BE IT FURTHER RESOLVED, that the Office of the Comptroller is hereby authorized to process a fund transfer in the amount of $9,750 from Org. Unit 1800-1945 – Appropriation for Contingencies to an appropriate account within Org. Unit 9000 – Department of Parks, Recreation, and Culture for the purchase and installation of a new park sign.</w:t>
      </w:r>
    </w:p>
    <w:sectPr w:rsidR="00404BFA" w:rsidRPr="00D4331A" w:rsidSect="004134D8">
      <w:footerReference w:type="default" r:id="rId7"/>
      <w:endnotePr>
        <w:numFmt w:val="decimal"/>
      </w:endnotePr>
      <w:type w:val="continuous"/>
      <w:pgSz w:w="12240" w:h="15840" w:code="1"/>
      <w:pgMar w:top="1440" w:right="720" w:bottom="1440" w:left="2160" w:header="1440" w:footer="1440" w:gutter="0"/>
      <w:lnNumType w:countBy="1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443" w:rsidRDefault="00D87443">
      <w:r>
        <w:separator/>
      </w:r>
    </w:p>
  </w:endnote>
  <w:endnote w:type="continuationSeparator" w:id="0">
    <w:p w:rsidR="00D87443" w:rsidRDefault="00D8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2913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0FAE" w:rsidRDefault="00760F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9541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9541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650DF" w:rsidRDefault="00E650DF">
    <w:pPr>
      <w:tabs>
        <w:tab w:val="center" w:pos="3960"/>
      </w:tabs>
      <w:ind w:left="-720" w:right="720"/>
      <w:rPr>
        <w:rFonts w:ascii="CG Omega" w:hAnsi="CG Omeg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443" w:rsidRDefault="00D87443">
      <w:r>
        <w:separator/>
      </w:r>
    </w:p>
  </w:footnote>
  <w:footnote w:type="continuationSeparator" w:id="0">
    <w:p w:rsidR="00D87443" w:rsidRDefault="00D8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49D3"/>
    <w:multiLevelType w:val="singleLevel"/>
    <w:tmpl w:val="6CEE498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71356F"/>
    <w:multiLevelType w:val="hybridMultilevel"/>
    <w:tmpl w:val="409E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59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A138CB"/>
    <w:multiLevelType w:val="hybridMultilevel"/>
    <w:tmpl w:val="EF927C8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E075BC4"/>
    <w:multiLevelType w:val="hybridMultilevel"/>
    <w:tmpl w:val="7758F3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36244B"/>
    <w:multiLevelType w:val="singleLevel"/>
    <w:tmpl w:val="394217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3257E1A"/>
    <w:multiLevelType w:val="hybridMultilevel"/>
    <w:tmpl w:val="04AE01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3535722"/>
    <w:multiLevelType w:val="hybridMultilevel"/>
    <w:tmpl w:val="EAF2D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0A73C7"/>
    <w:multiLevelType w:val="multilevel"/>
    <w:tmpl w:val="EDDC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866E4C"/>
    <w:multiLevelType w:val="hybridMultilevel"/>
    <w:tmpl w:val="F5B851C4"/>
    <w:lvl w:ilvl="0" w:tplc="4F4EB9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20"/>
    <w:rsid w:val="00001524"/>
    <w:rsid w:val="0001189A"/>
    <w:rsid w:val="0002154F"/>
    <w:rsid w:val="0004187E"/>
    <w:rsid w:val="00056A69"/>
    <w:rsid w:val="0007456D"/>
    <w:rsid w:val="00080AD6"/>
    <w:rsid w:val="000901D9"/>
    <w:rsid w:val="00093533"/>
    <w:rsid w:val="000944E6"/>
    <w:rsid w:val="000A0375"/>
    <w:rsid w:val="000A6FA0"/>
    <w:rsid w:val="000B5E84"/>
    <w:rsid w:val="000B6BD0"/>
    <w:rsid w:val="000B6D44"/>
    <w:rsid w:val="000D7267"/>
    <w:rsid w:val="000E4747"/>
    <w:rsid w:val="000E47DE"/>
    <w:rsid w:val="000F1821"/>
    <w:rsid w:val="000F188D"/>
    <w:rsid w:val="000F37A1"/>
    <w:rsid w:val="0010004B"/>
    <w:rsid w:val="00106937"/>
    <w:rsid w:val="001133D2"/>
    <w:rsid w:val="001143C2"/>
    <w:rsid w:val="00116AB0"/>
    <w:rsid w:val="00131AB4"/>
    <w:rsid w:val="00135A20"/>
    <w:rsid w:val="001405E8"/>
    <w:rsid w:val="00142A40"/>
    <w:rsid w:val="001457E6"/>
    <w:rsid w:val="0016329D"/>
    <w:rsid w:val="00163692"/>
    <w:rsid w:val="001770FB"/>
    <w:rsid w:val="00180005"/>
    <w:rsid w:val="00184392"/>
    <w:rsid w:val="0018574F"/>
    <w:rsid w:val="001D5A05"/>
    <w:rsid w:val="001E6962"/>
    <w:rsid w:val="001F1DC5"/>
    <w:rsid w:val="00201F80"/>
    <w:rsid w:val="00206A0E"/>
    <w:rsid w:val="002076D2"/>
    <w:rsid w:val="002237BC"/>
    <w:rsid w:val="002362C4"/>
    <w:rsid w:val="0023644B"/>
    <w:rsid w:val="00252C03"/>
    <w:rsid w:val="0025693B"/>
    <w:rsid w:val="00266C6C"/>
    <w:rsid w:val="002711EB"/>
    <w:rsid w:val="00273EE5"/>
    <w:rsid w:val="00282B57"/>
    <w:rsid w:val="002839F3"/>
    <w:rsid w:val="00295F51"/>
    <w:rsid w:val="002A1977"/>
    <w:rsid w:val="002B06DA"/>
    <w:rsid w:val="002B515F"/>
    <w:rsid w:val="002C661C"/>
    <w:rsid w:val="002D1813"/>
    <w:rsid w:val="002E3346"/>
    <w:rsid w:val="00305E7D"/>
    <w:rsid w:val="0031612E"/>
    <w:rsid w:val="00320132"/>
    <w:rsid w:val="00335ABA"/>
    <w:rsid w:val="00340D83"/>
    <w:rsid w:val="00344D68"/>
    <w:rsid w:val="003575ED"/>
    <w:rsid w:val="003606B9"/>
    <w:rsid w:val="0037025B"/>
    <w:rsid w:val="003850E2"/>
    <w:rsid w:val="0039092B"/>
    <w:rsid w:val="00393D76"/>
    <w:rsid w:val="00397813"/>
    <w:rsid w:val="003978A8"/>
    <w:rsid w:val="003B6EFA"/>
    <w:rsid w:val="003C0946"/>
    <w:rsid w:val="003C484C"/>
    <w:rsid w:val="003D10FA"/>
    <w:rsid w:val="003D3897"/>
    <w:rsid w:val="003E0C44"/>
    <w:rsid w:val="003E4D6E"/>
    <w:rsid w:val="003E53FD"/>
    <w:rsid w:val="003F033A"/>
    <w:rsid w:val="003F7797"/>
    <w:rsid w:val="003F7E98"/>
    <w:rsid w:val="00404BFA"/>
    <w:rsid w:val="004134D8"/>
    <w:rsid w:val="00423434"/>
    <w:rsid w:val="00426382"/>
    <w:rsid w:val="00440117"/>
    <w:rsid w:val="004541A4"/>
    <w:rsid w:val="0046281E"/>
    <w:rsid w:val="00485468"/>
    <w:rsid w:val="00491424"/>
    <w:rsid w:val="0049167F"/>
    <w:rsid w:val="00496FB8"/>
    <w:rsid w:val="004C0424"/>
    <w:rsid w:val="004C7A11"/>
    <w:rsid w:val="004D14AA"/>
    <w:rsid w:val="0050091D"/>
    <w:rsid w:val="00507B6D"/>
    <w:rsid w:val="00517B1C"/>
    <w:rsid w:val="005203C8"/>
    <w:rsid w:val="00554FEA"/>
    <w:rsid w:val="00566EB1"/>
    <w:rsid w:val="00572AA6"/>
    <w:rsid w:val="00583B2F"/>
    <w:rsid w:val="00583C73"/>
    <w:rsid w:val="0059662B"/>
    <w:rsid w:val="00597058"/>
    <w:rsid w:val="005A2A13"/>
    <w:rsid w:val="005A4159"/>
    <w:rsid w:val="005A4961"/>
    <w:rsid w:val="005B1C58"/>
    <w:rsid w:val="005B366F"/>
    <w:rsid w:val="005B5CF5"/>
    <w:rsid w:val="005C2704"/>
    <w:rsid w:val="005C2980"/>
    <w:rsid w:val="005C55F5"/>
    <w:rsid w:val="005C6DB1"/>
    <w:rsid w:val="005D4375"/>
    <w:rsid w:val="005E1D80"/>
    <w:rsid w:val="006008AF"/>
    <w:rsid w:val="0060695A"/>
    <w:rsid w:val="00607BDE"/>
    <w:rsid w:val="00614C8D"/>
    <w:rsid w:val="00622E29"/>
    <w:rsid w:val="00624D9E"/>
    <w:rsid w:val="006352C0"/>
    <w:rsid w:val="0063724B"/>
    <w:rsid w:val="006409DE"/>
    <w:rsid w:val="00664D5A"/>
    <w:rsid w:val="006707D0"/>
    <w:rsid w:val="0068587C"/>
    <w:rsid w:val="00690CD3"/>
    <w:rsid w:val="006930B1"/>
    <w:rsid w:val="006A3172"/>
    <w:rsid w:val="006B28A6"/>
    <w:rsid w:val="006B4314"/>
    <w:rsid w:val="006B5ADC"/>
    <w:rsid w:val="006C7D5E"/>
    <w:rsid w:val="006D354B"/>
    <w:rsid w:val="006D7B79"/>
    <w:rsid w:val="006F4423"/>
    <w:rsid w:val="007018A6"/>
    <w:rsid w:val="00701EAA"/>
    <w:rsid w:val="00702AAB"/>
    <w:rsid w:val="007167CF"/>
    <w:rsid w:val="007328A4"/>
    <w:rsid w:val="0073772C"/>
    <w:rsid w:val="00750441"/>
    <w:rsid w:val="0075759C"/>
    <w:rsid w:val="00760FAE"/>
    <w:rsid w:val="007646D9"/>
    <w:rsid w:val="007649D8"/>
    <w:rsid w:val="007746D8"/>
    <w:rsid w:val="00780741"/>
    <w:rsid w:val="007839C9"/>
    <w:rsid w:val="00784AC8"/>
    <w:rsid w:val="00794E41"/>
    <w:rsid w:val="007A0908"/>
    <w:rsid w:val="007A30F1"/>
    <w:rsid w:val="007A3B94"/>
    <w:rsid w:val="007A63C8"/>
    <w:rsid w:val="007A69FD"/>
    <w:rsid w:val="007C4E30"/>
    <w:rsid w:val="007E0334"/>
    <w:rsid w:val="007E4967"/>
    <w:rsid w:val="007E4FCA"/>
    <w:rsid w:val="007F751E"/>
    <w:rsid w:val="00820FB7"/>
    <w:rsid w:val="00821ED9"/>
    <w:rsid w:val="00822DC7"/>
    <w:rsid w:val="00825C98"/>
    <w:rsid w:val="00832F73"/>
    <w:rsid w:val="008350E5"/>
    <w:rsid w:val="00844756"/>
    <w:rsid w:val="0085628E"/>
    <w:rsid w:val="00860969"/>
    <w:rsid w:val="00860DDC"/>
    <w:rsid w:val="00870DEC"/>
    <w:rsid w:val="0087522B"/>
    <w:rsid w:val="0087527B"/>
    <w:rsid w:val="0087667E"/>
    <w:rsid w:val="00891906"/>
    <w:rsid w:val="00896B13"/>
    <w:rsid w:val="008A31D5"/>
    <w:rsid w:val="008A6724"/>
    <w:rsid w:val="008A70C8"/>
    <w:rsid w:val="008B4117"/>
    <w:rsid w:val="008C1A0D"/>
    <w:rsid w:val="008D6A14"/>
    <w:rsid w:val="008E5864"/>
    <w:rsid w:val="008F4508"/>
    <w:rsid w:val="008F76C6"/>
    <w:rsid w:val="008F7FE2"/>
    <w:rsid w:val="00900173"/>
    <w:rsid w:val="00922144"/>
    <w:rsid w:val="00956EFB"/>
    <w:rsid w:val="00962DA6"/>
    <w:rsid w:val="00964F54"/>
    <w:rsid w:val="00971FBB"/>
    <w:rsid w:val="00972DB7"/>
    <w:rsid w:val="00977C7B"/>
    <w:rsid w:val="009A0EED"/>
    <w:rsid w:val="009A0FAA"/>
    <w:rsid w:val="009C021B"/>
    <w:rsid w:val="009C55D4"/>
    <w:rsid w:val="009D2E56"/>
    <w:rsid w:val="009E281A"/>
    <w:rsid w:val="009F6170"/>
    <w:rsid w:val="009F6D73"/>
    <w:rsid w:val="00A0506A"/>
    <w:rsid w:val="00A137EA"/>
    <w:rsid w:val="00A20FAF"/>
    <w:rsid w:val="00A34671"/>
    <w:rsid w:val="00A407F2"/>
    <w:rsid w:val="00A5473E"/>
    <w:rsid w:val="00A570D6"/>
    <w:rsid w:val="00A6580F"/>
    <w:rsid w:val="00A66874"/>
    <w:rsid w:val="00A676B0"/>
    <w:rsid w:val="00A7061A"/>
    <w:rsid w:val="00A72BE8"/>
    <w:rsid w:val="00A77BE3"/>
    <w:rsid w:val="00A77EEF"/>
    <w:rsid w:val="00A86DB7"/>
    <w:rsid w:val="00A95EB7"/>
    <w:rsid w:val="00AA4F36"/>
    <w:rsid w:val="00AB274B"/>
    <w:rsid w:val="00AB45CA"/>
    <w:rsid w:val="00AB5C63"/>
    <w:rsid w:val="00AC14F0"/>
    <w:rsid w:val="00AC17D7"/>
    <w:rsid w:val="00AD0FFC"/>
    <w:rsid w:val="00AD6333"/>
    <w:rsid w:val="00AD66AF"/>
    <w:rsid w:val="00AD7378"/>
    <w:rsid w:val="00AE5551"/>
    <w:rsid w:val="00B100E9"/>
    <w:rsid w:val="00B143A7"/>
    <w:rsid w:val="00B16086"/>
    <w:rsid w:val="00B26220"/>
    <w:rsid w:val="00B3335B"/>
    <w:rsid w:val="00B4764C"/>
    <w:rsid w:val="00B618AB"/>
    <w:rsid w:val="00B745B2"/>
    <w:rsid w:val="00B83884"/>
    <w:rsid w:val="00B9541B"/>
    <w:rsid w:val="00BB395A"/>
    <w:rsid w:val="00BC09A3"/>
    <w:rsid w:val="00BC2BF1"/>
    <w:rsid w:val="00BD0124"/>
    <w:rsid w:val="00BD076A"/>
    <w:rsid w:val="00BE3377"/>
    <w:rsid w:val="00BF20BB"/>
    <w:rsid w:val="00BF791C"/>
    <w:rsid w:val="00C1261F"/>
    <w:rsid w:val="00C171E4"/>
    <w:rsid w:val="00C259E0"/>
    <w:rsid w:val="00C32FF0"/>
    <w:rsid w:val="00C35044"/>
    <w:rsid w:val="00C46871"/>
    <w:rsid w:val="00C503CE"/>
    <w:rsid w:val="00C80247"/>
    <w:rsid w:val="00C8756A"/>
    <w:rsid w:val="00C8760A"/>
    <w:rsid w:val="00C87F7B"/>
    <w:rsid w:val="00C93A7F"/>
    <w:rsid w:val="00C942F8"/>
    <w:rsid w:val="00CA3B93"/>
    <w:rsid w:val="00CB2D22"/>
    <w:rsid w:val="00CC2C19"/>
    <w:rsid w:val="00CD29C6"/>
    <w:rsid w:val="00CE147A"/>
    <w:rsid w:val="00CE4963"/>
    <w:rsid w:val="00CE7CE1"/>
    <w:rsid w:val="00CF6C0E"/>
    <w:rsid w:val="00D01441"/>
    <w:rsid w:val="00D17A15"/>
    <w:rsid w:val="00D3145E"/>
    <w:rsid w:val="00D4331A"/>
    <w:rsid w:val="00D44CF4"/>
    <w:rsid w:val="00D4736E"/>
    <w:rsid w:val="00D50FBE"/>
    <w:rsid w:val="00D54146"/>
    <w:rsid w:val="00D62DA8"/>
    <w:rsid w:val="00D72EB8"/>
    <w:rsid w:val="00D7479E"/>
    <w:rsid w:val="00D766AD"/>
    <w:rsid w:val="00D87443"/>
    <w:rsid w:val="00D8751F"/>
    <w:rsid w:val="00D9120B"/>
    <w:rsid w:val="00DA1675"/>
    <w:rsid w:val="00DA59A7"/>
    <w:rsid w:val="00DA6556"/>
    <w:rsid w:val="00DA7E01"/>
    <w:rsid w:val="00DB1394"/>
    <w:rsid w:val="00DB61CE"/>
    <w:rsid w:val="00DB64DB"/>
    <w:rsid w:val="00DC2E0D"/>
    <w:rsid w:val="00DC5865"/>
    <w:rsid w:val="00DD7025"/>
    <w:rsid w:val="00DE290A"/>
    <w:rsid w:val="00DE5B9C"/>
    <w:rsid w:val="00DE7BA2"/>
    <w:rsid w:val="00DF3C20"/>
    <w:rsid w:val="00E01425"/>
    <w:rsid w:val="00E05FED"/>
    <w:rsid w:val="00E1502A"/>
    <w:rsid w:val="00E30FD9"/>
    <w:rsid w:val="00E31628"/>
    <w:rsid w:val="00E41AFA"/>
    <w:rsid w:val="00E4706B"/>
    <w:rsid w:val="00E509ED"/>
    <w:rsid w:val="00E5619C"/>
    <w:rsid w:val="00E62EC0"/>
    <w:rsid w:val="00E64FC5"/>
    <w:rsid w:val="00E650DF"/>
    <w:rsid w:val="00E72327"/>
    <w:rsid w:val="00E76D3D"/>
    <w:rsid w:val="00E866CC"/>
    <w:rsid w:val="00E873F6"/>
    <w:rsid w:val="00E918BB"/>
    <w:rsid w:val="00EA2F2E"/>
    <w:rsid w:val="00EA7B41"/>
    <w:rsid w:val="00EB13D7"/>
    <w:rsid w:val="00EB3FF0"/>
    <w:rsid w:val="00EC22A5"/>
    <w:rsid w:val="00EC3A8E"/>
    <w:rsid w:val="00ED2720"/>
    <w:rsid w:val="00ED76D1"/>
    <w:rsid w:val="00EE0B50"/>
    <w:rsid w:val="00EF3132"/>
    <w:rsid w:val="00EF6BC7"/>
    <w:rsid w:val="00EF7326"/>
    <w:rsid w:val="00F02E3A"/>
    <w:rsid w:val="00F03768"/>
    <w:rsid w:val="00F10691"/>
    <w:rsid w:val="00F20E7C"/>
    <w:rsid w:val="00F20F39"/>
    <w:rsid w:val="00F309CD"/>
    <w:rsid w:val="00F5533C"/>
    <w:rsid w:val="00F602ED"/>
    <w:rsid w:val="00F76743"/>
    <w:rsid w:val="00F947DD"/>
    <w:rsid w:val="00F95E9C"/>
    <w:rsid w:val="00FB4A1D"/>
    <w:rsid w:val="00FC1024"/>
    <w:rsid w:val="00FC135C"/>
    <w:rsid w:val="00FF130C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3FFE55E3-FF39-4EF8-855C-D28BB9B5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720"/>
        <w:tab w:val="left" w:pos="1800"/>
        <w:tab w:val="center" w:pos="4680"/>
        <w:tab w:val="right" w:pos="9360"/>
      </w:tabs>
      <w:ind w:firstLine="720"/>
      <w:jc w:val="center"/>
      <w:outlineLvl w:val="0"/>
    </w:pPr>
    <w:rPr>
      <w:rFonts w:ascii="CG Omega" w:hAnsi="CG Omeg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LineNumber">
    <w:name w:val="line number"/>
    <w:basedOn w:val="DefaultParagraphFont"/>
    <w:semiHidden/>
  </w:style>
  <w:style w:type="paragraph" w:styleId="BodyText">
    <w:name w:val="Body Tex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jc w:val="center"/>
    </w:pPr>
    <w:rPr>
      <w:rFonts w:ascii="CG Omega" w:hAnsi="CG Omega"/>
    </w:rPr>
  </w:style>
  <w:style w:type="paragraph" w:styleId="BodyTextIndent">
    <w:name w:val="Body Text Inden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1800" w:hanging="1800"/>
    </w:pPr>
    <w:rPr>
      <w:rFonts w:ascii="CG Omega" w:hAnsi="CG Omega"/>
      <w:b/>
    </w:rPr>
  </w:style>
  <w:style w:type="paragraph" w:styleId="BodyTextIndent2">
    <w:name w:val="Body Text Indent 2"/>
    <w:basedOn w:val="Normal"/>
    <w:semiHidden/>
    <w:pPr>
      <w:ind w:left="720"/>
    </w:pPr>
    <w:rPr>
      <w:rFonts w:ascii="CG Omega" w:hAnsi="CG Omega"/>
    </w:rPr>
  </w:style>
  <w:style w:type="paragraph" w:styleId="BodyTextIndent3">
    <w:name w:val="Body Text Indent 3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720"/>
      <w:jc w:val="center"/>
    </w:pPr>
    <w:rPr>
      <w:rFonts w:ascii="CG Omega" w:hAnsi="CG Omeg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63C8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6962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6962"/>
    <w:rPr>
      <w:snapToGrid w:val="0"/>
      <w:sz w:val="24"/>
    </w:rPr>
  </w:style>
  <w:style w:type="character" w:styleId="Hyperlink">
    <w:name w:val="Hyperlink"/>
    <w:uiPriority w:val="99"/>
    <w:unhideWhenUsed/>
    <w:rsid w:val="002B06D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4508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1261F"/>
    <w:pPr>
      <w:widowControl/>
      <w:spacing w:after="160" w:line="259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C126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tgc">
    <w:name w:val="_tgc"/>
    <w:rsid w:val="00C1261F"/>
  </w:style>
  <w:style w:type="paragraph" w:styleId="PlainText">
    <w:name w:val="Plain Text"/>
    <w:basedOn w:val="Normal"/>
    <w:link w:val="PlainTextChar"/>
    <w:uiPriority w:val="99"/>
    <w:unhideWhenUsed/>
    <w:rsid w:val="00C8756A"/>
    <w:pPr>
      <w:widowControl/>
    </w:pPr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8756A"/>
    <w:rPr>
      <w:rFonts w:ascii="Calibri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51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23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61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92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446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77124385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66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50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110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40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35981962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61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168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36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794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43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99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21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5975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84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885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66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18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46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Resol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Resolution.dot</Template>
  <TotalTime>73</TotalTime>
  <Pages>2</Pages>
  <Words>366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County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Board of Supervisors</dc:creator>
  <cp:keywords/>
  <cp:lastModifiedBy>Petersen, Emily</cp:lastModifiedBy>
  <cp:revision>5</cp:revision>
  <cp:lastPrinted>2017-09-06T21:36:00Z</cp:lastPrinted>
  <dcterms:created xsi:type="dcterms:W3CDTF">2020-06-16T18:09:00Z</dcterms:created>
  <dcterms:modified xsi:type="dcterms:W3CDTF">2020-07-08T21:07:00Z</dcterms:modified>
</cp:coreProperties>
</file>