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67" w:rsidRDefault="00DA0B67">
      <w:pPr>
        <w:pStyle w:val="Title"/>
      </w:pPr>
      <w:r>
        <w:t>MILWAUKEE COUNTY BOARD OF SUPERVISORS</w:t>
      </w:r>
    </w:p>
    <w:p w:rsidR="00DA0B67" w:rsidRDefault="00DA0B67">
      <w:pPr>
        <w:jc w:val="center"/>
        <w:rPr>
          <w:b/>
          <w:sz w:val="24"/>
        </w:rPr>
      </w:pPr>
    </w:p>
    <w:p w:rsidR="00DA0B67" w:rsidRDefault="00DA0B67">
      <w:pPr>
        <w:jc w:val="center"/>
        <w:rPr>
          <w:b/>
          <w:sz w:val="24"/>
        </w:rPr>
      </w:pPr>
    </w:p>
    <w:p w:rsidR="003F411F" w:rsidRDefault="00DA0B67">
      <w:pPr>
        <w:rPr>
          <w:b/>
          <w:sz w:val="24"/>
        </w:rPr>
      </w:pPr>
      <w:r>
        <w:rPr>
          <w:b/>
          <w:sz w:val="24"/>
        </w:rPr>
        <w:t>DATE:</w:t>
      </w:r>
      <w:r>
        <w:rPr>
          <w:b/>
          <w:sz w:val="24"/>
        </w:rPr>
        <w:tab/>
      </w:r>
      <w:r w:rsidR="000B5B64">
        <w:rPr>
          <w:b/>
          <w:sz w:val="24"/>
        </w:rPr>
        <w:t>July 9, 2020</w:t>
      </w:r>
    </w:p>
    <w:p w:rsidR="001235A2" w:rsidRDefault="001235A2">
      <w:pPr>
        <w:rPr>
          <w:b/>
          <w:sz w:val="24"/>
        </w:rPr>
      </w:pPr>
    </w:p>
    <w:p w:rsidR="00C51025" w:rsidRDefault="00DA0B67">
      <w:pPr>
        <w:rPr>
          <w:b/>
          <w:sz w:val="24"/>
        </w:rPr>
      </w:pPr>
      <w:r>
        <w:rPr>
          <w:b/>
          <w:sz w:val="24"/>
        </w:rPr>
        <w:t xml:space="preserve">AMENDMENT NO. </w:t>
      </w:r>
      <w:r w:rsidR="005C50AE">
        <w:rPr>
          <w:b/>
          <w:sz w:val="24"/>
        </w:rPr>
        <w:t xml:space="preserve"> </w:t>
      </w:r>
      <w:r w:rsidR="00B0454F">
        <w:rPr>
          <w:b/>
          <w:sz w:val="24"/>
        </w:rPr>
        <w:t>1 to Item #</w:t>
      </w:r>
      <w:r w:rsidR="000B5B64">
        <w:rPr>
          <w:b/>
          <w:sz w:val="24"/>
        </w:rPr>
        <w:t>4</w:t>
      </w:r>
    </w:p>
    <w:p w:rsidR="00053D06" w:rsidRDefault="00053D06">
      <w:pPr>
        <w:rPr>
          <w:b/>
          <w:sz w:val="24"/>
        </w:rPr>
      </w:pPr>
    </w:p>
    <w:p w:rsidR="00CE3CDD" w:rsidRDefault="00DA0B67">
      <w:pPr>
        <w:spacing w:line="360" w:lineRule="auto"/>
        <w:rPr>
          <w:b/>
          <w:sz w:val="24"/>
        </w:rPr>
      </w:pPr>
      <w:r>
        <w:rPr>
          <w:b/>
          <w:sz w:val="24"/>
        </w:rPr>
        <w:tab/>
        <w:t xml:space="preserve">Resolution File No. </w:t>
      </w:r>
      <w:r>
        <w:rPr>
          <w:b/>
          <w:sz w:val="24"/>
        </w:rPr>
        <w:tab/>
      </w:r>
      <w:r w:rsidR="000B5B64">
        <w:rPr>
          <w:b/>
          <w:sz w:val="24"/>
        </w:rPr>
        <w:t>20-455</w:t>
      </w:r>
    </w:p>
    <w:p w:rsidR="00DA0B67" w:rsidRDefault="00DA0B67">
      <w:pPr>
        <w:spacing w:line="360" w:lineRule="auto"/>
        <w:rPr>
          <w:b/>
          <w:sz w:val="24"/>
        </w:rPr>
      </w:pPr>
      <w:r>
        <w:rPr>
          <w:b/>
          <w:sz w:val="24"/>
        </w:rPr>
        <w:tab/>
        <w:t>Ordinance File No.</w:t>
      </w:r>
      <w:r>
        <w:rPr>
          <w:b/>
          <w:sz w:val="24"/>
        </w:rPr>
        <w:tab/>
      </w:r>
    </w:p>
    <w:p w:rsidR="00DA0B67" w:rsidRDefault="00DA0B67">
      <w:pPr>
        <w:rPr>
          <w:b/>
          <w:sz w:val="24"/>
        </w:rPr>
      </w:pPr>
    </w:p>
    <w:p w:rsidR="00B0454F" w:rsidRDefault="00DA0B67">
      <w:pPr>
        <w:rPr>
          <w:b/>
          <w:sz w:val="24"/>
        </w:rPr>
      </w:pPr>
      <w:r>
        <w:rPr>
          <w:b/>
          <w:sz w:val="24"/>
        </w:rPr>
        <w:t>COMMITTEE:</w:t>
      </w:r>
      <w:r>
        <w:rPr>
          <w:b/>
          <w:sz w:val="24"/>
        </w:rPr>
        <w:tab/>
      </w:r>
      <w:r w:rsidR="000B5B64">
        <w:rPr>
          <w:b/>
          <w:sz w:val="24"/>
        </w:rPr>
        <w:t>Judiciary, Safety, and General Services</w:t>
      </w:r>
    </w:p>
    <w:p w:rsidR="00C91E5C" w:rsidRDefault="00C91E5C">
      <w:pPr>
        <w:rPr>
          <w:b/>
          <w:sz w:val="24"/>
        </w:rPr>
      </w:pPr>
    </w:p>
    <w:p w:rsidR="00DA0B67" w:rsidRDefault="00DA0B67">
      <w:pPr>
        <w:rPr>
          <w:b/>
          <w:sz w:val="24"/>
        </w:rPr>
      </w:pPr>
      <w:r>
        <w:rPr>
          <w:b/>
          <w:sz w:val="24"/>
        </w:rPr>
        <w:t>OFFERED BY SUPERVISOR(S):</w:t>
      </w:r>
      <w:r>
        <w:rPr>
          <w:b/>
          <w:sz w:val="24"/>
        </w:rPr>
        <w:tab/>
      </w:r>
      <w:r w:rsidR="00BE6B94">
        <w:rPr>
          <w:b/>
          <w:sz w:val="24"/>
        </w:rPr>
        <w:tab/>
        <w:t>Shea</w:t>
      </w:r>
      <w:bookmarkStart w:id="0" w:name="_GoBack"/>
      <w:bookmarkEnd w:id="0"/>
      <w:r>
        <w:rPr>
          <w:b/>
          <w:sz w:val="24"/>
        </w:rPr>
        <w:tab/>
      </w:r>
    </w:p>
    <w:p w:rsidR="00CE3CDD" w:rsidRDefault="00CE3CDD">
      <w:pPr>
        <w:rPr>
          <w:b/>
          <w:sz w:val="24"/>
        </w:rPr>
      </w:pPr>
    </w:p>
    <w:p w:rsidR="00DA0B67" w:rsidRDefault="00DA0B67">
      <w:pPr>
        <w:rPr>
          <w:b/>
          <w:sz w:val="24"/>
        </w:rPr>
      </w:pPr>
      <w:r>
        <w:rPr>
          <w:b/>
          <w:sz w:val="24"/>
        </w:rPr>
        <w:t>ADD AND/OR DELETE AS FOLLOWS:</w:t>
      </w:r>
    </w:p>
    <w:p w:rsidR="000B5B64" w:rsidRDefault="000B5B64">
      <w:pPr>
        <w:rPr>
          <w:b/>
          <w:sz w:val="24"/>
        </w:rPr>
      </w:pPr>
    </w:p>
    <w:p w:rsidR="000B5B64" w:rsidRDefault="000B5B64">
      <w:pPr>
        <w:rPr>
          <w:b/>
          <w:sz w:val="24"/>
        </w:rPr>
      </w:pPr>
      <w:r>
        <w:rPr>
          <w:b/>
          <w:sz w:val="24"/>
        </w:rPr>
        <w:t>Amend the Be it Resolved clauses as follows:</w:t>
      </w:r>
    </w:p>
    <w:p w:rsidR="00DA0B67" w:rsidRDefault="00DA0B67">
      <w:pPr>
        <w:rPr>
          <w:b/>
          <w:sz w:val="24"/>
        </w:rPr>
      </w:pPr>
    </w:p>
    <w:p w:rsidR="00501DB4" w:rsidRPr="00501DB4" w:rsidRDefault="00501DB4" w:rsidP="00501DB4">
      <w:pPr>
        <w:ind w:firstLine="720"/>
        <w:rPr>
          <w:sz w:val="24"/>
          <w:szCs w:val="24"/>
        </w:rPr>
      </w:pPr>
      <w:bookmarkStart w:id="1" w:name="_Hlk41472975"/>
      <w:bookmarkStart w:id="2" w:name="_Hlk41486051"/>
      <w:r w:rsidRPr="00501DB4">
        <w:rPr>
          <w:sz w:val="24"/>
          <w:szCs w:val="24"/>
        </w:rPr>
        <w:t xml:space="preserve">BE IT RESOLVED, that the Milwaukee County Board of Supervisors </w:t>
      </w:r>
      <w:bookmarkEnd w:id="1"/>
      <w:r w:rsidR="000B5B64" w:rsidRPr="000B5B64">
        <w:rPr>
          <w:sz w:val="24"/>
          <w:szCs w:val="24"/>
          <w:u w:val="single"/>
        </w:rPr>
        <w:t>hereby supports</w:t>
      </w:r>
      <w:r w:rsidR="000B5B64">
        <w:rPr>
          <w:sz w:val="24"/>
          <w:szCs w:val="24"/>
        </w:rPr>
        <w:t xml:space="preserve"> </w:t>
      </w:r>
      <w:r w:rsidR="000B5B64" w:rsidRPr="000B5B64">
        <w:rPr>
          <w:strike/>
          <w:sz w:val="24"/>
          <w:szCs w:val="24"/>
        </w:rPr>
        <w:t xml:space="preserve">and </w:t>
      </w:r>
      <w:r w:rsidRPr="000B5B64">
        <w:rPr>
          <w:strike/>
          <w:sz w:val="24"/>
          <w:szCs w:val="24"/>
        </w:rPr>
        <w:t>authorizes</w:t>
      </w:r>
      <w:r w:rsidRPr="00501DB4">
        <w:rPr>
          <w:sz w:val="24"/>
          <w:szCs w:val="24"/>
        </w:rPr>
        <w:t xml:space="preserve"> the County Executive’s </w:t>
      </w:r>
      <w:r w:rsidRPr="00DF68A9">
        <w:rPr>
          <w:strike/>
          <w:sz w:val="24"/>
          <w:szCs w:val="24"/>
        </w:rPr>
        <w:t>Office</w:t>
      </w:r>
      <w:r w:rsidRPr="00501DB4">
        <w:rPr>
          <w:sz w:val="24"/>
          <w:szCs w:val="24"/>
        </w:rPr>
        <w:t xml:space="preserve"> </w:t>
      </w:r>
      <w:r w:rsidR="00DF68A9" w:rsidRPr="00DF68A9">
        <w:rPr>
          <w:sz w:val="24"/>
          <w:szCs w:val="24"/>
          <w:u w:val="single"/>
        </w:rPr>
        <w:t>Administration to</w:t>
      </w:r>
      <w:r w:rsidR="00DF68A9">
        <w:rPr>
          <w:sz w:val="24"/>
          <w:szCs w:val="24"/>
        </w:rPr>
        <w:t xml:space="preserve"> </w:t>
      </w:r>
      <w:r w:rsidRPr="00501DB4">
        <w:rPr>
          <w:sz w:val="24"/>
          <w:szCs w:val="24"/>
        </w:rPr>
        <w:t>work</w:t>
      </w:r>
      <w:r w:rsidRPr="00DF68A9">
        <w:rPr>
          <w:strike/>
          <w:sz w:val="24"/>
          <w:szCs w:val="24"/>
        </w:rPr>
        <w:t>ing</w:t>
      </w:r>
      <w:r w:rsidRPr="00501DB4">
        <w:rPr>
          <w:sz w:val="24"/>
          <w:szCs w:val="24"/>
        </w:rPr>
        <w:t xml:space="preserve"> together with the Milwaukee County Sheriff’s Office and the House of Correction to </w:t>
      </w:r>
      <w:r w:rsidR="000B5B64" w:rsidRPr="000B5B64">
        <w:rPr>
          <w:sz w:val="24"/>
          <w:szCs w:val="24"/>
          <w:u w:val="single"/>
        </w:rPr>
        <w:t>address</w:t>
      </w:r>
      <w:r w:rsidR="000B5B64">
        <w:rPr>
          <w:sz w:val="24"/>
          <w:szCs w:val="24"/>
        </w:rPr>
        <w:t xml:space="preserve"> </w:t>
      </w:r>
      <w:r w:rsidRPr="000B5B64">
        <w:rPr>
          <w:strike/>
          <w:sz w:val="24"/>
          <w:szCs w:val="24"/>
        </w:rPr>
        <w:t>implement</w:t>
      </w:r>
      <w:r w:rsidRPr="00501DB4">
        <w:rPr>
          <w:sz w:val="24"/>
          <w:szCs w:val="24"/>
        </w:rPr>
        <w:t xml:space="preserve"> the </w:t>
      </w:r>
      <w:r w:rsidR="000B5B64" w:rsidRPr="000B5B64">
        <w:rPr>
          <w:sz w:val="24"/>
          <w:szCs w:val="24"/>
          <w:u w:val="single"/>
        </w:rPr>
        <w:t>issues</w:t>
      </w:r>
      <w:r w:rsidR="000B5B64">
        <w:rPr>
          <w:sz w:val="24"/>
          <w:szCs w:val="24"/>
        </w:rPr>
        <w:t xml:space="preserve"> </w:t>
      </w:r>
      <w:r w:rsidRPr="000B5B64">
        <w:rPr>
          <w:strike/>
          <w:sz w:val="24"/>
          <w:szCs w:val="24"/>
        </w:rPr>
        <w:t>recommendations</w:t>
      </w:r>
      <w:r w:rsidRPr="00501DB4">
        <w:rPr>
          <w:sz w:val="24"/>
          <w:szCs w:val="24"/>
        </w:rPr>
        <w:t xml:space="preserve"> </w:t>
      </w:r>
      <w:r w:rsidR="000B5B64" w:rsidRPr="000B5B64">
        <w:rPr>
          <w:sz w:val="24"/>
          <w:szCs w:val="24"/>
          <w:u w:val="single"/>
        </w:rPr>
        <w:t>presented</w:t>
      </w:r>
      <w:r w:rsidR="000B5B64">
        <w:rPr>
          <w:sz w:val="24"/>
          <w:szCs w:val="24"/>
        </w:rPr>
        <w:t xml:space="preserve"> </w:t>
      </w:r>
      <w:r w:rsidRPr="00501DB4">
        <w:rPr>
          <w:sz w:val="24"/>
          <w:szCs w:val="24"/>
        </w:rPr>
        <w:t>in the Wisconsin Policy Forum’s report to improve correction’s operations in Milwaukee County; and,</w:t>
      </w:r>
    </w:p>
    <w:p w:rsidR="00501DB4" w:rsidRPr="00501DB4" w:rsidRDefault="00501DB4" w:rsidP="00501DB4">
      <w:pPr>
        <w:ind w:firstLine="720"/>
        <w:rPr>
          <w:sz w:val="24"/>
          <w:szCs w:val="24"/>
        </w:rPr>
      </w:pPr>
    </w:p>
    <w:p w:rsidR="00501DB4" w:rsidRPr="00501DB4" w:rsidRDefault="00501DB4" w:rsidP="00501DB4">
      <w:pPr>
        <w:ind w:firstLine="720"/>
        <w:rPr>
          <w:sz w:val="24"/>
          <w:szCs w:val="24"/>
        </w:rPr>
      </w:pPr>
      <w:r w:rsidRPr="00501DB4">
        <w:rPr>
          <w:sz w:val="24"/>
          <w:szCs w:val="24"/>
        </w:rPr>
        <w:t>BE IT FURTHER RESOLVED, that the administrative authority for the Milwaukee County House of Correction will remain under the Superintendent, appointed by the County Executive and confirmed by the Milwaukee County Board of Supervisors</w:t>
      </w:r>
      <w:r w:rsidR="00DF68A9" w:rsidRPr="00DF68A9">
        <w:rPr>
          <w:strike/>
          <w:sz w:val="24"/>
          <w:szCs w:val="24"/>
          <w:u w:val="single"/>
        </w:rPr>
        <w:t>.</w:t>
      </w:r>
      <w:r w:rsidRPr="00DF68A9">
        <w:rPr>
          <w:strike/>
          <w:sz w:val="24"/>
          <w:szCs w:val="24"/>
        </w:rPr>
        <w:t>; and,</w:t>
      </w:r>
      <w:bookmarkEnd w:id="2"/>
    </w:p>
    <w:p w:rsidR="00501DB4" w:rsidRPr="00501DB4" w:rsidRDefault="00501DB4" w:rsidP="00501DB4">
      <w:pPr>
        <w:ind w:firstLine="720"/>
        <w:rPr>
          <w:sz w:val="24"/>
          <w:szCs w:val="24"/>
        </w:rPr>
      </w:pPr>
    </w:p>
    <w:p w:rsidR="00501DB4" w:rsidRPr="00DF68A9" w:rsidRDefault="00501DB4" w:rsidP="00501DB4">
      <w:pPr>
        <w:ind w:firstLine="720"/>
        <w:rPr>
          <w:strike/>
          <w:sz w:val="24"/>
          <w:szCs w:val="24"/>
        </w:rPr>
      </w:pPr>
      <w:r w:rsidRPr="00DF68A9">
        <w:rPr>
          <w:strike/>
          <w:sz w:val="24"/>
          <w:szCs w:val="24"/>
        </w:rPr>
        <w:t>BE IT FURTHER RESOLVED, the County Executive and County Board Chairwoman will convene a taskforce that will examine and recommend evidence-based practices and system changes that the HOC should adopt to move it closer to a human services agency that is working toward racial equity, while maintaining a secure facility; and,</w:t>
      </w:r>
    </w:p>
    <w:p w:rsidR="00501DB4" w:rsidRPr="00501DB4" w:rsidRDefault="00501DB4" w:rsidP="00501DB4">
      <w:pPr>
        <w:ind w:firstLine="720"/>
        <w:rPr>
          <w:sz w:val="24"/>
          <w:szCs w:val="24"/>
        </w:rPr>
      </w:pPr>
    </w:p>
    <w:p w:rsidR="00501DB4" w:rsidRPr="00DF68A9" w:rsidRDefault="00501DB4" w:rsidP="00501DB4">
      <w:pPr>
        <w:ind w:firstLine="720"/>
        <w:rPr>
          <w:strike/>
          <w:sz w:val="24"/>
          <w:szCs w:val="24"/>
        </w:rPr>
      </w:pPr>
      <w:r w:rsidRPr="00DF68A9">
        <w:rPr>
          <w:strike/>
          <w:sz w:val="24"/>
          <w:szCs w:val="24"/>
        </w:rPr>
        <w:t>BE IT FURTHER RESOLVED, the taskforce should be comprised of traditional system partners through the Community Justice Council and non-traditional community and human services partners; and,</w:t>
      </w:r>
    </w:p>
    <w:p w:rsidR="00501DB4" w:rsidRPr="00501DB4" w:rsidRDefault="00501DB4" w:rsidP="00501DB4">
      <w:pPr>
        <w:ind w:firstLine="720"/>
        <w:rPr>
          <w:sz w:val="24"/>
          <w:szCs w:val="24"/>
        </w:rPr>
      </w:pPr>
    </w:p>
    <w:p w:rsidR="00501DB4" w:rsidRPr="00DF68A9" w:rsidRDefault="00501DB4" w:rsidP="00501DB4">
      <w:pPr>
        <w:ind w:firstLine="720"/>
        <w:rPr>
          <w:strike/>
          <w:sz w:val="24"/>
          <w:szCs w:val="24"/>
        </w:rPr>
      </w:pPr>
      <w:r w:rsidRPr="00DF68A9">
        <w:rPr>
          <w:strike/>
          <w:sz w:val="24"/>
          <w:szCs w:val="24"/>
        </w:rPr>
        <w:t>BE IT FURTHER RESOLVED, the taskforce should make recommendations to the County Executive and County Board by September 2020 so they could be included in the 2021 budget.</w:t>
      </w:r>
    </w:p>
    <w:p w:rsidR="00891FF3" w:rsidRPr="00501DB4" w:rsidRDefault="00891FF3">
      <w:pPr>
        <w:rPr>
          <w:b/>
          <w:sz w:val="24"/>
          <w:szCs w:val="24"/>
        </w:rPr>
      </w:pPr>
    </w:p>
    <w:p w:rsidR="00B0454F" w:rsidRPr="00501DB4" w:rsidRDefault="00B0454F" w:rsidP="00B0454F">
      <w:pPr>
        <w:pStyle w:val="Default"/>
        <w:rPr>
          <w:rFonts w:ascii="Times New Roman" w:hAnsi="Times New Roman" w:cs="Times New Roman"/>
        </w:rPr>
      </w:pPr>
    </w:p>
    <w:p w:rsidR="00891FF3" w:rsidRPr="00891FF3" w:rsidRDefault="00B0454F" w:rsidP="00891FF3">
      <w:pPr>
        <w:rPr>
          <w:sz w:val="24"/>
          <w:szCs w:val="24"/>
        </w:rPr>
      </w:pPr>
      <w:r w:rsidRPr="00891FF3">
        <w:rPr>
          <w:sz w:val="24"/>
          <w:szCs w:val="24"/>
        </w:rPr>
        <w:t xml:space="preserve"> </w:t>
      </w:r>
      <w:r w:rsidR="00891FF3">
        <w:rPr>
          <w:sz w:val="24"/>
          <w:szCs w:val="24"/>
        </w:rPr>
        <w:tab/>
      </w:r>
      <w:r w:rsidR="00891FF3" w:rsidRPr="00891FF3">
        <w:rPr>
          <w:sz w:val="24"/>
          <w:szCs w:val="24"/>
        </w:rPr>
        <w:t xml:space="preserve"> </w:t>
      </w:r>
    </w:p>
    <w:p w:rsidR="008E608B" w:rsidRPr="00891FF3" w:rsidRDefault="008E608B" w:rsidP="001235A2">
      <w:pPr>
        <w:rPr>
          <w:sz w:val="24"/>
          <w:szCs w:val="24"/>
        </w:rPr>
      </w:pPr>
    </w:p>
    <w:sectPr w:rsidR="008E608B" w:rsidRPr="00891FF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AAF" w:rsidRDefault="00FF0AAF" w:rsidP="00FF0AAF">
      <w:r>
        <w:separator/>
      </w:r>
    </w:p>
  </w:endnote>
  <w:endnote w:type="continuationSeparator" w:id="0">
    <w:p w:rsidR="00FF0AAF" w:rsidRDefault="00FF0AAF" w:rsidP="00FF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23189"/>
      <w:docPartObj>
        <w:docPartGallery w:val="Page Numbers (Bottom of Page)"/>
        <w:docPartUnique/>
      </w:docPartObj>
    </w:sdtPr>
    <w:sdtEndPr/>
    <w:sdtContent>
      <w:sdt>
        <w:sdtPr>
          <w:id w:val="1728636285"/>
          <w:docPartObj>
            <w:docPartGallery w:val="Page Numbers (Top of Page)"/>
            <w:docPartUnique/>
          </w:docPartObj>
        </w:sdtPr>
        <w:sdtEndPr/>
        <w:sdtContent>
          <w:p w:rsidR="00FF0AAF" w:rsidRDefault="00FF0A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1E5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E5C">
              <w:rPr>
                <w:b/>
                <w:bCs/>
                <w:noProof/>
              </w:rPr>
              <w:t>1</w:t>
            </w:r>
            <w:r>
              <w:rPr>
                <w:b/>
                <w:bCs/>
                <w:sz w:val="24"/>
                <w:szCs w:val="24"/>
              </w:rPr>
              <w:fldChar w:fldCharType="end"/>
            </w:r>
          </w:p>
        </w:sdtContent>
      </w:sdt>
    </w:sdtContent>
  </w:sdt>
  <w:p w:rsidR="00FF0AAF" w:rsidRDefault="00FF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AAF" w:rsidRDefault="00FF0AAF" w:rsidP="00FF0AAF">
      <w:r>
        <w:separator/>
      </w:r>
    </w:p>
  </w:footnote>
  <w:footnote w:type="continuationSeparator" w:id="0">
    <w:p w:rsidR="00FF0AAF" w:rsidRDefault="00FF0AAF" w:rsidP="00FF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53D06"/>
    <w:rsid w:val="000B5B64"/>
    <w:rsid w:val="000D008E"/>
    <w:rsid w:val="000D29D6"/>
    <w:rsid w:val="001235A2"/>
    <w:rsid w:val="00172533"/>
    <w:rsid w:val="003C7A38"/>
    <w:rsid w:val="003F411F"/>
    <w:rsid w:val="0048717B"/>
    <w:rsid w:val="004C10A6"/>
    <w:rsid w:val="00501DB4"/>
    <w:rsid w:val="005379B2"/>
    <w:rsid w:val="005C50AE"/>
    <w:rsid w:val="006375C4"/>
    <w:rsid w:val="006A033B"/>
    <w:rsid w:val="007B039F"/>
    <w:rsid w:val="00891FF3"/>
    <w:rsid w:val="008E608B"/>
    <w:rsid w:val="00A261AE"/>
    <w:rsid w:val="00A80044"/>
    <w:rsid w:val="00B0454F"/>
    <w:rsid w:val="00BE6B94"/>
    <w:rsid w:val="00C51025"/>
    <w:rsid w:val="00C91E5C"/>
    <w:rsid w:val="00CE3CDD"/>
    <w:rsid w:val="00D62FA8"/>
    <w:rsid w:val="00DA0B67"/>
    <w:rsid w:val="00DF68A9"/>
    <w:rsid w:val="00E76EAE"/>
    <w:rsid w:val="00FF0AAF"/>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14481"/>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33"/>
    <w:rPr>
      <w:rFonts w:ascii="Segoe UI" w:hAnsi="Segoe UI" w:cs="Segoe UI"/>
      <w:sz w:val="18"/>
      <w:szCs w:val="18"/>
    </w:rPr>
  </w:style>
  <w:style w:type="paragraph" w:styleId="Header">
    <w:name w:val="header"/>
    <w:basedOn w:val="Normal"/>
    <w:link w:val="HeaderChar"/>
    <w:uiPriority w:val="99"/>
    <w:unhideWhenUsed/>
    <w:rsid w:val="00FF0AAF"/>
    <w:pPr>
      <w:tabs>
        <w:tab w:val="center" w:pos="4680"/>
        <w:tab w:val="right" w:pos="9360"/>
      </w:tabs>
    </w:pPr>
  </w:style>
  <w:style w:type="character" w:customStyle="1" w:styleId="HeaderChar">
    <w:name w:val="Header Char"/>
    <w:basedOn w:val="DefaultParagraphFont"/>
    <w:link w:val="Header"/>
    <w:uiPriority w:val="99"/>
    <w:rsid w:val="00FF0AAF"/>
  </w:style>
  <w:style w:type="paragraph" w:styleId="Footer">
    <w:name w:val="footer"/>
    <w:basedOn w:val="Normal"/>
    <w:link w:val="FooterChar"/>
    <w:uiPriority w:val="99"/>
    <w:unhideWhenUsed/>
    <w:rsid w:val="00FF0AAF"/>
    <w:pPr>
      <w:tabs>
        <w:tab w:val="center" w:pos="4680"/>
        <w:tab w:val="right" w:pos="9360"/>
      </w:tabs>
    </w:pPr>
  </w:style>
  <w:style w:type="character" w:customStyle="1" w:styleId="FooterChar">
    <w:name w:val="Footer Char"/>
    <w:basedOn w:val="DefaultParagraphFont"/>
    <w:link w:val="Footer"/>
    <w:uiPriority w:val="99"/>
    <w:rsid w:val="00FF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Template>
  <TotalTime>24</TotalTime>
  <Pages>2</Pages>
  <Words>239</Words>
  <Characters>1391</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Stephen.Cady@milwaukeecountywi.gov</dc:creator>
  <cp:keywords/>
  <cp:lastModifiedBy>Cady, Steve</cp:lastModifiedBy>
  <cp:revision>5</cp:revision>
  <cp:lastPrinted>2016-09-22T17:46:00Z</cp:lastPrinted>
  <dcterms:created xsi:type="dcterms:W3CDTF">2020-07-09T20:12:00Z</dcterms:created>
  <dcterms:modified xsi:type="dcterms:W3CDTF">2020-07-09T20:37:00Z</dcterms:modified>
</cp:coreProperties>
</file>