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41E6" w14:textId="77777777" w:rsidR="00FE1BD8" w:rsidRPr="0026638D" w:rsidRDefault="00C53367" w:rsidP="0026638D">
      <w:pPr>
        <w:pStyle w:val="ListParagraph"/>
        <w:numPr>
          <w:ilvl w:val="0"/>
          <w:numId w:val="1"/>
        </w:numPr>
        <w:tabs>
          <w:tab w:val="left" w:pos="460"/>
        </w:tabs>
        <w:rPr>
          <w:rFonts w:asciiTheme="minorHAnsi" w:hAnsiTheme="minorHAnsi" w:cstheme="minorHAnsi"/>
          <w:b/>
          <w:bCs/>
        </w:rPr>
      </w:pPr>
      <w:r w:rsidRPr="0026638D">
        <w:rPr>
          <w:rFonts w:asciiTheme="minorHAnsi" w:hAnsiTheme="minorHAnsi" w:cstheme="minorHAnsi"/>
          <w:b/>
          <w:bCs/>
        </w:rPr>
        <w:t>OBJECTIVE</w:t>
      </w:r>
    </w:p>
    <w:p w14:paraId="66D7C3B4" w14:textId="77777777" w:rsidR="00FE1BD8" w:rsidRPr="0026638D" w:rsidRDefault="00C53367" w:rsidP="0026638D">
      <w:pPr>
        <w:pStyle w:val="BodyText"/>
        <w:ind w:left="460" w:right="400"/>
        <w:rPr>
          <w:rFonts w:asciiTheme="minorHAnsi" w:hAnsiTheme="minorHAnsi" w:cstheme="minorHAnsi"/>
        </w:rPr>
      </w:pPr>
      <w:r w:rsidRPr="0026638D">
        <w:rPr>
          <w:rFonts w:asciiTheme="minorHAnsi" w:hAnsiTheme="minorHAnsi" w:cstheme="minorHAnsi"/>
        </w:rPr>
        <w:t xml:space="preserve">In accordance with the requirements of </w:t>
      </w:r>
      <w:r w:rsidR="004D3122" w:rsidRPr="0026638D">
        <w:rPr>
          <w:rFonts w:asciiTheme="minorHAnsi" w:hAnsiTheme="minorHAnsi" w:cstheme="minorHAnsi"/>
        </w:rPr>
        <w:t>T</w:t>
      </w:r>
      <w:r w:rsidRPr="0026638D">
        <w:rPr>
          <w:rFonts w:asciiTheme="minorHAnsi" w:hAnsiTheme="minorHAnsi" w:cstheme="minorHAnsi"/>
        </w:rPr>
        <w:t xml:space="preserve">itle II of the Americans with Disabilities Act of 1990 (ADA), Milwaukee County will not discriminate against qualified individuals with disabilities who utilize </w:t>
      </w:r>
      <w:r w:rsidR="00C50DEB" w:rsidRPr="0026638D">
        <w:rPr>
          <w:rFonts w:asciiTheme="minorHAnsi" w:hAnsiTheme="minorHAnsi" w:cstheme="minorHAnsi"/>
        </w:rPr>
        <w:t>w</w:t>
      </w:r>
      <w:r w:rsidRPr="0026638D">
        <w:rPr>
          <w:rFonts w:asciiTheme="minorHAnsi" w:hAnsiTheme="minorHAnsi" w:cstheme="minorHAnsi"/>
        </w:rPr>
        <w:t xml:space="preserve">heelchairs, </w:t>
      </w:r>
      <w:r w:rsidR="00C50DEB" w:rsidRPr="0026638D">
        <w:rPr>
          <w:rFonts w:asciiTheme="minorHAnsi" w:hAnsiTheme="minorHAnsi" w:cstheme="minorHAnsi"/>
        </w:rPr>
        <w:t>m</w:t>
      </w:r>
      <w:r w:rsidRPr="0026638D">
        <w:rPr>
          <w:rFonts w:asciiTheme="minorHAnsi" w:hAnsiTheme="minorHAnsi" w:cstheme="minorHAnsi"/>
        </w:rPr>
        <w:t xml:space="preserve">obility </w:t>
      </w:r>
      <w:r w:rsidR="00C50DEB" w:rsidRPr="0026638D">
        <w:rPr>
          <w:rFonts w:asciiTheme="minorHAnsi" w:hAnsiTheme="minorHAnsi" w:cstheme="minorHAnsi"/>
        </w:rPr>
        <w:t>a</w:t>
      </w:r>
      <w:r w:rsidRPr="0026638D">
        <w:rPr>
          <w:rFonts w:asciiTheme="minorHAnsi" w:hAnsiTheme="minorHAnsi" w:cstheme="minorHAnsi"/>
        </w:rPr>
        <w:t xml:space="preserve">ids, and </w:t>
      </w:r>
      <w:r w:rsidR="00C50DEB" w:rsidRPr="0026638D">
        <w:rPr>
          <w:rFonts w:asciiTheme="minorHAnsi" w:hAnsiTheme="minorHAnsi" w:cstheme="minorHAnsi"/>
        </w:rPr>
        <w:t>o</w:t>
      </w:r>
      <w:r w:rsidRPr="0026638D">
        <w:rPr>
          <w:rFonts w:asciiTheme="minorHAnsi" w:hAnsiTheme="minorHAnsi" w:cstheme="minorHAnsi"/>
        </w:rPr>
        <w:t xml:space="preserve">ther </w:t>
      </w:r>
      <w:r w:rsidR="00C50DEB" w:rsidRPr="0026638D">
        <w:rPr>
          <w:rFonts w:asciiTheme="minorHAnsi" w:hAnsiTheme="minorHAnsi" w:cstheme="minorHAnsi"/>
        </w:rPr>
        <w:t>p</w:t>
      </w:r>
      <w:r w:rsidRPr="0026638D">
        <w:rPr>
          <w:rFonts w:asciiTheme="minorHAnsi" w:hAnsiTheme="minorHAnsi" w:cstheme="minorHAnsi"/>
        </w:rPr>
        <w:t>ower-</w:t>
      </w:r>
      <w:r w:rsidR="00C50DEB" w:rsidRPr="0026638D">
        <w:rPr>
          <w:rFonts w:asciiTheme="minorHAnsi" w:hAnsiTheme="minorHAnsi" w:cstheme="minorHAnsi"/>
        </w:rPr>
        <w:t>d</w:t>
      </w:r>
      <w:r w:rsidRPr="0026638D">
        <w:rPr>
          <w:rFonts w:asciiTheme="minorHAnsi" w:hAnsiTheme="minorHAnsi" w:cstheme="minorHAnsi"/>
        </w:rPr>
        <w:t xml:space="preserve">riven </w:t>
      </w:r>
      <w:r w:rsidR="00C50DEB" w:rsidRPr="0026638D">
        <w:rPr>
          <w:rFonts w:asciiTheme="minorHAnsi" w:hAnsiTheme="minorHAnsi" w:cstheme="minorHAnsi"/>
        </w:rPr>
        <w:t>m</w:t>
      </w:r>
      <w:r w:rsidRPr="0026638D">
        <w:rPr>
          <w:rFonts w:asciiTheme="minorHAnsi" w:hAnsiTheme="minorHAnsi" w:cstheme="minorHAnsi"/>
        </w:rPr>
        <w:t xml:space="preserve">obility </w:t>
      </w:r>
      <w:r w:rsidR="00C50DEB" w:rsidRPr="0026638D">
        <w:rPr>
          <w:rFonts w:asciiTheme="minorHAnsi" w:hAnsiTheme="minorHAnsi" w:cstheme="minorHAnsi"/>
        </w:rPr>
        <w:t>d</w:t>
      </w:r>
      <w:r w:rsidRPr="0026638D">
        <w:rPr>
          <w:rFonts w:asciiTheme="minorHAnsi" w:hAnsiTheme="minorHAnsi" w:cstheme="minorHAnsi"/>
        </w:rPr>
        <w:t>evices</w:t>
      </w:r>
      <w:r w:rsidR="00C50DEB" w:rsidRPr="0026638D">
        <w:rPr>
          <w:rFonts w:asciiTheme="minorHAnsi" w:hAnsiTheme="minorHAnsi" w:cstheme="minorHAnsi"/>
        </w:rPr>
        <w:t xml:space="preserve"> (OPDMD)</w:t>
      </w:r>
      <w:r w:rsidRPr="0026638D">
        <w:rPr>
          <w:rFonts w:asciiTheme="minorHAnsi" w:hAnsiTheme="minorHAnsi" w:cstheme="minorHAnsi"/>
        </w:rPr>
        <w:t xml:space="preserve"> and who seek to participate in or benefit from the services, programs or activities of the County.</w:t>
      </w:r>
    </w:p>
    <w:p w14:paraId="672A6659" w14:textId="77777777" w:rsidR="00FE1BD8" w:rsidRPr="0026638D" w:rsidRDefault="00FE1BD8" w:rsidP="0026638D">
      <w:pPr>
        <w:pStyle w:val="BodyText"/>
        <w:ind w:left="0" w:right="400"/>
        <w:rPr>
          <w:rFonts w:asciiTheme="minorHAnsi" w:hAnsiTheme="minorHAnsi" w:cstheme="minorHAnsi"/>
        </w:rPr>
      </w:pPr>
    </w:p>
    <w:p w14:paraId="2B406DD8" w14:textId="77777777" w:rsidR="00FE1BD8" w:rsidRPr="0026638D" w:rsidRDefault="00C53367" w:rsidP="0026638D">
      <w:pPr>
        <w:pStyle w:val="BodyText"/>
        <w:ind w:left="460" w:right="400"/>
        <w:rPr>
          <w:rFonts w:asciiTheme="minorHAnsi" w:hAnsiTheme="minorHAnsi" w:cstheme="minorHAnsi"/>
        </w:rPr>
      </w:pPr>
      <w:r w:rsidRPr="0026638D">
        <w:rPr>
          <w:rFonts w:asciiTheme="minorHAnsi" w:hAnsiTheme="minorHAnsi" w:cstheme="minorHAnsi"/>
        </w:rPr>
        <w:t xml:space="preserve">People with mobility, circulatory, respiratory, or neurological disabilities use many kinds of devices for mobility. Some use walkers, canes, crutches, or braces. Some use manual or power wheelchairs or electric scooters. In addition, advances in technology have given rise to new devices, such as </w:t>
      </w:r>
      <w:proofErr w:type="spellStart"/>
      <w:r w:rsidRPr="0026638D">
        <w:rPr>
          <w:rFonts w:asciiTheme="minorHAnsi" w:hAnsiTheme="minorHAnsi" w:cstheme="minorHAnsi"/>
        </w:rPr>
        <w:t>Segways</w:t>
      </w:r>
      <w:proofErr w:type="spellEnd"/>
      <w:r w:rsidRPr="0026638D">
        <w:rPr>
          <w:rFonts w:asciiTheme="minorHAnsi" w:hAnsiTheme="minorHAnsi" w:cstheme="minorHAnsi"/>
          <w:vertAlign w:val="superscript"/>
        </w:rPr>
        <w:t>®</w:t>
      </w:r>
      <w:r w:rsidRPr="0026638D">
        <w:rPr>
          <w:rFonts w:asciiTheme="minorHAnsi" w:hAnsiTheme="minorHAnsi" w:cstheme="minorHAnsi"/>
        </w:rPr>
        <w:t xml:space="preserve">, that some people with disabilities use as mobility devices, including many veterans injured while serving in the military. </w:t>
      </w:r>
      <w:r w:rsidR="00C50DEB" w:rsidRPr="0026638D">
        <w:rPr>
          <w:rFonts w:asciiTheme="minorHAnsi" w:hAnsiTheme="minorHAnsi" w:cstheme="minorHAnsi"/>
        </w:rPr>
        <w:t>M</w:t>
      </w:r>
      <w:r w:rsidRPr="0026638D">
        <w:rPr>
          <w:rFonts w:asciiTheme="minorHAnsi" w:hAnsiTheme="minorHAnsi" w:cstheme="minorHAnsi"/>
        </w:rPr>
        <w:t>ore advanced devices will inevitably be invented, providing more mobility options for people with disabilities.</w:t>
      </w:r>
    </w:p>
    <w:p w14:paraId="0A37501D" w14:textId="77777777" w:rsidR="00FE1BD8" w:rsidRPr="0026638D" w:rsidRDefault="00FE1BD8" w:rsidP="0026638D">
      <w:pPr>
        <w:pStyle w:val="BodyText"/>
        <w:ind w:left="0"/>
        <w:rPr>
          <w:rFonts w:asciiTheme="minorHAnsi" w:hAnsiTheme="minorHAnsi" w:cstheme="minorHAnsi"/>
        </w:rPr>
      </w:pPr>
    </w:p>
    <w:p w14:paraId="6131D377" w14:textId="77777777" w:rsidR="00FE1BD8" w:rsidRPr="0026638D" w:rsidRDefault="00C53367" w:rsidP="0026638D">
      <w:pPr>
        <w:pStyle w:val="ListParagraph"/>
        <w:numPr>
          <w:ilvl w:val="0"/>
          <w:numId w:val="1"/>
        </w:numPr>
        <w:tabs>
          <w:tab w:val="left" w:pos="460"/>
        </w:tabs>
        <w:rPr>
          <w:rFonts w:asciiTheme="minorHAnsi" w:hAnsiTheme="minorHAnsi" w:cstheme="minorHAnsi"/>
          <w:b/>
        </w:rPr>
      </w:pPr>
      <w:r w:rsidRPr="0026638D">
        <w:rPr>
          <w:rFonts w:asciiTheme="minorHAnsi" w:hAnsiTheme="minorHAnsi" w:cstheme="minorHAnsi"/>
          <w:b/>
        </w:rPr>
        <w:t>DEFINITIONS</w:t>
      </w:r>
    </w:p>
    <w:p w14:paraId="1F8B08CA" w14:textId="71B8AC8F" w:rsidR="0026638D" w:rsidRPr="0026638D" w:rsidRDefault="0026638D" w:rsidP="0026638D">
      <w:pPr>
        <w:pStyle w:val="ListParagraph"/>
        <w:numPr>
          <w:ilvl w:val="1"/>
          <w:numId w:val="1"/>
        </w:numPr>
        <w:tabs>
          <w:tab w:val="left" w:pos="821"/>
        </w:tabs>
        <w:ind w:left="819" w:right="146" w:hanging="359"/>
        <w:rPr>
          <w:rFonts w:asciiTheme="minorHAnsi" w:hAnsiTheme="minorHAnsi" w:cstheme="minorHAnsi"/>
        </w:rPr>
      </w:pPr>
      <w:bookmarkStart w:id="0" w:name="Wheelchair"/>
      <w:bookmarkEnd w:id="0"/>
      <w:r w:rsidRPr="00DF7004">
        <w:rPr>
          <w:rFonts w:asciiTheme="minorHAnsi" w:hAnsiTheme="minorHAnsi" w:cstheme="minorHAnsi"/>
          <w:u w:val="single"/>
        </w:rPr>
        <w:t>ADA Coordinator</w:t>
      </w:r>
      <w:r w:rsidRPr="0026638D">
        <w:rPr>
          <w:rFonts w:asciiTheme="minorHAnsi" w:hAnsiTheme="minorHAnsi" w:cstheme="minorHAnsi"/>
        </w:rPr>
        <w:t>. The ADA Coordinator’s role is to coordinate the government entity’s efforts to comply with the ADA and investigate any complaints that the entity has violated the ADA. Milwaukee County has designated the Director of the Office for Persons with Disabilities as the ADA Coordinator. Director, Office for Persons with Disabilities, 901 N. 9</w:t>
      </w:r>
      <w:r w:rsidRPr="0026638D">
        <w:rPr>
          <w:rFonts w:asciiTheme="minorHAnsi" w:hAnsiTheme="minorHAnsi" w:cstheme="minorHAnsi"/>
          <w:vertAlign w:val="superscript"/>
        </w:rPr>
        <w:t>th</w:t>
      </w:r>
      <w:r w:rsidRPr="0026638D">
        <w:rPr>
          <w:rFonts w:asciiTheme="minorHAnsi" w:hAnsiTheme="minorHAnsi" w:cstheme="minorHAnsi"/>
        </w:rPr>
        <w:t xml:space="preserve"> Street, Room 307-B, Milwaukee WI 53233, 414-278-3932, 711 (TRS), 414-278-3939</w:t>
      </w:r>
      <w:r w:rsidRPr="0026638D">
        <w:rPr>
          <w:rFonts w:asciiTheme="minorHAnsi" w:hAnsiTheme="minorHAnsi" w:cstheme="minorHAnsi"/>
          <w:spacing w:val="-11"/>
        </w:rPr>
        <w:t xml:space="preserve"> </w:t>
      </w:r>
      <w:r w:rsidRPr="0026638D">
        <w:rPr>
          <w:rFonts w:asciiTheme="minorHAnsi" w:hAnsiTheme="minorHAnsi" w:cstheme="minorHAnsi"/>
        </w:rPr>
        <w:t>(Fax).</w:t>
      </w:r>
    </w:p>
    <w:p w14:paraId="54C0DDF0" w14:textId="2E052609" w:rsidR="0026638D" w:rsidRPr="0026638D" w:rsidRDefault="0026638D" w:rsidP="0026638D">
      <w:pPr>
        <w:pStyle w:val="ListParagraph"/>
        <w:numPr>
          <w:ilvl w:val="1"/>
          <w:numId w:val="1"/>
        </w:numPr>
        <w:tabs>
          <w:tab w:val="left" w:pos="821"/>
        </w:tabs>
        <w:ind w:right="114"/>
        <w:rPr>
          <w:rFonts w:asciiTheme="minorHAnsi" w:hAnsiTheme="minorHAnsi" w:cstheme="minorHAnsi"/>
        </w:rPr>
      </w:pPr>
      <w:r w:rsidRPr="0026638D">
        <w:rPr>
          <w:rFonts w:asciiTheme="minorHAnsi" w:hAnsiTheme="minorHAnsi" w:cstheme="minorHAnsi"/>
          <w:u w:val="single"/>
        </w:rPr>
        <w:t>ADA</w:t>
      </w:r>
      <w:r w:rsidRPr="0026638D">
        <w:rPr>
          <w:rFonts w:asciiTheme="minorHAnsi" w:hAnsiTheme="minorHAnsi" w:cstheme="minorHAnsi"/>
        </w:rPr>
        <w:t>. Americans with Disabilities Act. The ADA is a civil rights law that prohibits discrimination against individuals with disabilities in all areas of public life and all public and private places that are open to the general public.</w:t>
      </w:r>
    </w:p>
    <w:p w14:paraId="33DD031A" w14:textId="77777777" w:rsidR="0026638D" w:rsidRPr="0026638D" w:rsidRDefault="0026638D" w:rsidP="0026638D">
      <w:pPr>
        <w:pStyle w:val="ListParagraph"/>
        <w:numPr>
          <w:ilvl w:val="1"/>
          <w:numId w:val="1"/>
        </w:numPr>
        <w:tabs>
          <w:tab w:val="left" w:pos="820"/>
        </w:tabs>
        <w:rPr>
          <w:rFonts w:asciiTheme="minorHAnsi" w:hAnsiTheme="minorHAnsi" w:cstheme="minorHAnsi"/>
        </w:rPr>
      </w:pPr>
      <w:bookmarkStart w:id="1" w:name="ManuallyPoweredMobilityAids"/>
      <w:bookmarkEnd w:id="1"/>
      <w:r w:rsidRPr="0026638D">
        <w:rPr>
          <w:rFonts w:asciiTheme="minorHAnsi" w:hAnsiTheme="minorHAnsi" w:cstheme="minorHAnsi"/>
          <w:u w:val="single"/>
        </w:rPr>
        <w:t>Manually Powered Mobility Aids</w:t>
      </w:r>
      <w:r w:rsidRPr="0026638D">
        <w:rPr>
          <w:rFonts w:asciiTheme="minorHAnsi" w:hAnsiTheme="minorHAnsi" w:cstheme="minorHAnsi"/>
        </w:rPr>
        <w:t>. Devices such as walkers, crutches, canes, and</w:t>
      </w:r>
      <w:r w:rsidRPr="0026638D">
        <w:rPr>
          <w:rFonts w:asciiTheme="minorHAnsi" w:hAnsiTheme="minorHAnsi" w:cstheme="minorHAnsi"/>
          <w:spacing w:val="-20"/>
        </w:rPr>
        <w:t xml:space="preserve"> </w:t>
      </w:r>
      <w:r w:rsidRPr="0026638D">
        <w:rPr>
          <w:rFonts w:asciiTheme="minorHAnsi" w:hAnsiTheme="minorHAnsi" w:cstheme="minorHAnsi"/>
        </w:rPr>
        <w:t>braces.</w:t>
      </w:r>
    </w:p>
    <w:p w14:paraId="40CCCE7E" w14:textId="77777777" w:rsidR="0026638D" w:rsidRPr="0026638D" w:rsidRDefault="0026638D" w:rsidP="0026638D">
      <w:pPr>
        <w:pStyle w:val="ListParagraph"/>
        <w:numPr>
          <w:ilvl w:val="1"/>
          <w:numId w:val="1"/>
        </w:numPr>
        <w:tabs>
          <w:tab w:val="left" w:pos="821"/>
        </w:tabs>
        <w:ind w:left="819" w:right="291" w:hanging="359"/>
        <w:rPr>
          <w:rFonts w:asciiTheme="minorHAnsi" w:hAnsiTheme="minorHAnsi" w:cstheme="minorHAnsi"/>
        </w:rPr>
      </w:pPr>
      <w:bookmarkStart w:id="2" w:name="OPDMD"/>
      <w:bookmarkEnd w:id="2"/>
      <w:r w:rsidRPr="0026638D">
        <w:rPr>
          <w:rFonts w:asciiTheme="minorHAnsi" w:hAnsiTheme="minorHAnsi" w:cstheme="minorHAnsi"/>
          <w:u w:val="single"/>
        </w:rPr>
        <w:t>Other Power-Driven Mobility Device (OPDMD)</w:t>
      </w:r>
      <w:r w:rsidRPr="0026638D">
        <w:rPr>
          <w:rFonts w:asciiTheme="minorHAnsi" w:hAnsiTheme="minorHAnsi" w:cstheme="minorHAnsi"/>
        </w:rPr>
        <w:t>. Any mobility device powered by batteries, fuel, or other engines that is used by individuals with mobility disabilities for the purpose of locomotion, including golf cars, electronic personal assistance mobility devices such as the Segway</w:t>
      </w:r>
      <w:r w:rsidRPr="0026638D">
        <w:rPr>
          <w:rFonts w:asciiTheme="minorHAnsi" w:hAnsiTheme="minorHAnsi" w:cstheme="minorHAnsi"/>
          <w:vertAlign w:val="superscript"/>
        </w:rPr>
        <w:t>®</w:t>
      </w:r>
      <w:r w:rsidRPr="0026638D">
        <w:rPr>
          <w:rFonts w:asciiTheme="minorHAnsi" w:hAnsiTheme="minorHAnsi" w:cstheme="minorHAnsi"/>
        </w:rPr>
        <w:t xml:space="preserve"> PT, or any mobility device designed to operate in areas without defined pedestrian routes, but that is not a</w:t>
      </w:r>
      <w:r w:rsidRPr="0026638D">
        <w:rPr>
          <w:rFonts w:asciiTheme="minorHAnsi" w:hAnsiTheme="minorHAnsi" w:cstheme="minorHAnsi"/>
          <w:spacing w:val="-2"/>
        </w:rPr>
        <w:t xml:space="preserve"> </w:t>
      </w:r>
      <w:r w:rsidRPr="0026638D">
        <w:rPr>
          <w:rFonts w:asciiTheme="minorHAnsi" w:hAnsiTheme="minorHAnsi" w:cstheme="minorHAnsi"/>
        </w:rPr>
        <w:t>wheelchair.</w:t>
      </w:r>
    </w:p>
    <w:p w14:paraId="0C1A8DA5" w14:textId="77777777" w:rsidR="0026638D" w:rsidRPr="0026638D" w:rsidRDefault="0026638D" w:rsidP="0026638D">
      <w:pPr>
        <w:pStyle w:val="ListParagraph"/>
        <w:numPr>
          <w:ilvl w:val="1"/>
          <w:numId w:val="1"/>
        </w:numPr>
        <w:tabs>
          <w:tab w:val="left" w:pos="820"/>
        </w:tabs>
        <w:ind w:right="347"/>
        <w:rPr>
          <w:rFonts w:asciiTheme="minorHAnsi" w:hAnsiTheme="minorHAnsi" w:cstheme="minorHAnsi"/>
        </w:rPr>
      </w:pPr>
      <w:bookmarkStart w:id="3" w:name="ADACoordinator"/>
      <w:bookmarkEnd w:id="3"/>
      <w:r w:rsidRPr="0026638D">
        <w:rPr>
          <w:rFonts w:asciiTheme="minorHAnsi" w:hAnsiTheme="minorHAnsi" w:cstheme="minorHAnsi"/>
          <w:u w:val="single"/>
        </w:rPr>
        <w:t>Wheelchair</w:t>
      </w:r>
      <w:r w:rsidRPr="0026638D">
        <w:rPr>
          <w:rFonts w:asciiTheme="minorHAnsi" w:hAnsiTheme="minorHAnsi" w:cstheme="minorHAnsi"/>
        </w:rPr>
        <w:t>. A wheelchair is a manually-operated or power-driven device designed primarily for use by an individual with a mobility disability for the main purpose of indoor or of both indoor and outdoor</w:t>
      </w:r>
      <w:r w:rsidRPr="0026638D">
        <w:rPr>
          <w:rFonts w:asciiTheme="minorHAnsi" w:hAnsiTheme="minorHAnsi" w:cstheme="minorHAnsi"/>
          <w:spacing w:val="-6"/>
        </w:rPr>
        <w:t xml:space="preserve"> </w:t>
      </w:r>
      <w:r w:rsidRPr="0026638D">
        <w:rPr>
          <w:rFonts w:asciiTheme="minorHAnsi" w:hAnsiTheme="minorHAnsi" w:cstheme="minorHAnsi"/>
        </w:rPr>
        <w:t>locomotion.</w:t>
      </w:r>
    </w:p>
    <w:p w14:paraId="5DAB6C7B" w14:textId="77777777" w:rsidR="00FE1BD8" w:rsidRPr="0026638D" w:rsidRDefault="00FE1BD8" w:rsidP="0026638D">
      <w:pPr>
        <w:pStyle w:val="BodyText"/>
        <w:ind w:left="0"/>
        <w:rPr>
          <w:rFonts w:asciiTheme="minorHAnsi" w:hAnsiTheme="minorHAnsi" w:cstheme="minorHAnsi"/>
        </w:rPr>
      </w:pPr>
    </w:p>
    <w:p w14:paraId="7A724E9F" w14:textId="77777777" w:rsidR="00FE1BD8" w:rsidRPr="0026638D" w:rsidRDefault="00C53367" w:rsidP="0026638D">
      <w:pPr>
        <w:pStyle w:val="Heading2"/>
        <w:numPr>
          <w:ilvl w:val="0"/>
          <w:numId w:val="1"/>
        </w:numPr>
        <w:tabs>
          <w:tab w:val="left" w:pos="460"/>
        </w:tabs>
        <w:rPr>
          <w:rFonts w:asciiTheme="minorHAnsi" w:hAnsiTheme="minorHAnsi" w:cstheme="minorHAnsi"/>
          <w:sz w:val="22"/>
          <w:szCs w:val="22"/>
        </w:rPr>
      </w:pPr>
      <w:r w:rsidRPr="0026638D">
        <w:rPr>
          <w:rFonts w:asciiTheme="minorHAnsi" w:hAnsiTheme="minorHAnsi" w:cstheme="minorHAnsi"/>
          <w:sz w:val="22"/>
          <w:szCs w:val="22"/>
        </w:rPr>
        <w:t>PROCEDURE</w:t>
      </w:r>
    </w:p>
    <w:p w14:paraId="2EC1E72D" w14:textId="77777777" w:rsidR="002D7C43" w:rsidRDefault="00C53367" w:rsidP="002D7C43">
      <w:pPr>
        <w:pStyle w:val="ListParagraph"/>
        <w:numPr>
          <w:ilvl w:val="1"/>
          <w:numId w:val="1"/>
        </w:numPr>
        <w:tabs>
          <w:tab w:val="left" w:pos="820"/>
        </w:tabs>
        <w:ind w:left="819" w:hanging="359"/>
        <w:rPr>
          <w:rFonts w:asciiTheme="minorHAnsi" w:hAnsiTheme="minorHAnsi" w:cstheme="minorHAnsi"/>
        </w:rPr>
      </w:pPr>
      <w:r w:rsidRPr="0026638D">
        <w:rPr>
          <w:rFonts w:asciiTheme="minorHAnsi" w:hAnsiTheme="minorHAnsi" w:cstheme="minorHAnsi"/>
          <w:u w:val="single"/>
        </w:rPr>
        <w:t>Choice of</w:t>
      </w:r>
      <w:r w:rsidRPr="0026638D">
        <w:rPr>
          <w:rFonts w:asciiTheme="minorHAnsi" w:hAnsiTheme="minorHAnsi" w:cstheme="minorHAnsi"/>
          <w:spacing w:val="-5"/>
          <w:u w:val="single"/>
        </w:rPr>
        <w:t xml:space="preserve"> </w:t>
      </w:r>
      <w:r w:rsidRPr="0026638D">
        <w:rPr>
          <w:rFonts w:asciiTheme="minorHAnsi" w:hAnsiTheme="minorHAnsi" w:cstheme="minorHAnsi"/>
          <w:u w:val="single"/>
        </w:rPr>
        <w:t>Device</w:t>
      </w:r>
    </w:p>
    <w:p w14:paraId="101390F6" w14:textId="77777777" w:rsid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 xml:space="preserve">People with disabilities have the right to choose whatever mobility device best suits their needs. For example, someone may choose to use a manual wheelchair rather than a power wheelchair because it enables </w:t>
      </w:r>
      <w:r w:rsidR="00F17BED" w:rsidRPr="002D7C43">
        <w:rPr>
          <w:rFonts w:asciiTheme="minorHAnsi" w:hAnsiTheme="minorHAnsi" w:cstheme="minorHAnsi"/>
        </w:rPr>
        <w:t xml:space="preserve">him/her </w:t>
      </w:r>
      <w:r w:rsidRPr="002D7C43">
        <w:rPr>
          <w:rFonts w:asciiTheme="minorHAnsi" w:hAnsiTheme="minorHAnsi" w:cstheme="minorHAnsi"/>
        </w:rPr>
        <w:t xml:space="preserve">to maintain </w:t>
      </w:r>
      <w:r w:rsidR="00F17BED" w:rsidRPr="002D7C43">
        <w:rPr>
          <w:rFonts w:asciiTheme="minorHAnsi" w:hAnsiTheme="minorHAnsi" w:cstheme="minorHAnsi"/>
        </w:rPr>
        <w:t>him/</w:t>
      </w:r>
      <w:r w:rsidRPr="002D7C43">
        <w:rPr>
          <w:rFonts w:asciiTheme="minorHAnsi" w:hAnsiTheme="minorHAnsi" w:cstheme="minorHAnsi"/>
        </w:rPr>
        <w:t xml:space="preserve">her upper body strength. Similarly, someone who </w:t>
      </w:r>
      <w:r w:rsidR="00F17BED" w:rsidRPr="002D7C43">
        <w:rPr>
          <w:rFonts w:asciiTheme="minorHAnsi" w:hAnsiTheme="minorHAnsi" w:cstheme="minorHAnsi"/>
        </w:rPr>
        <w:t>can</w:t>
      </w:r>
      <w:r w:rsidRPr="002D7C43">
        <w:rPr>
          <w:rFonts w:asciiTheme="minorHAnsi" w:hAnsiTheme="minorHAnsi" w:cstheme="minorHAnsi"/>
        </w:rPr>
        <w:t xml:space="preserve"> stand may choose to use a Segway</w:t>
      </w:r>
      <w:r w:rsidRPr="002D7C43">
        <w:rPr>
          <w:rFonts w:asciiTheme="minorHAnsi" w:hAnsiTheme="minorHAnsi" w:cstheme="minorHAnsi"/>
          <w:vertAlign w:val="superscript"/>
        </w:rPr>
        <w:t>®</w:t>
      </w:r>
      <w:r w:rsidRPr="002D7C43">
        <w:rPr>
          <w:rFonts w:asciiTheme="minorHAnsi" w:hAnsiTheme="minorHAnsi" w:cstheme="minorHAnsi"/>
        </w:rPr>
        <w:t xml:space="preserve"> rather than a manual wheelchair because of the health benefits gained by standing. </w:t>
      </w:r>
    </w:p>
    <w:p w14:paraId="73A588DB" w14:textId="20D114B1" w:rsidR="00FE1BD8" w:rsidRP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lastRenderedPageBreak/>
        <w:t>Milwaukee County may allow a type of device that is generally prohibited when being used by someone without a disability when it is being used by a person who needs it because of a mobility disability. For example, if golf car</w:t>
      </w:r>
      <w:r w:rsidR="007D40BE" w:rsidRPr="002D7C43">
        <w:rPr>
          <w:rFonts w:asciiTheme="minorHAnsi" w:hAnsiTheme="minorHAnsi" w:cstheme="minorHAnsi"/>
        </w:rPr>
        <w:t>t</w:t>
      </w:r>
      <w:r w:rsidRPr="002D7C43">
        <w:rPr>
          <w:rFonts w:asciiTheme="minorHAnsi" w:hAnsiTheme="minorHAnsi" w:cstheme="minorHAnsi"/>
        </w:rPr>
        <w:t>s are generally prohibited in a park, the park will allow a golf car</w:t>
      </w:r>
      <w:r w:rsidR="007D40BE" w:rsidRPr="002D7C43">
        <w:rPr>
          <w:rFonts w:asciiTheme="minorHAnsi" w:hAnsiTheme="minorHAnsi" w:cstheme="minorHAnsi"/>
        </w:rPr>
        <w:t>t</w:t>
      </w:r>
      <w:r w:rsidRPr="002D7C43">
        <w:rPr>
          <w:rFonts w:asciiTheme="minorHAnsi" w:hAnsiTheme="minorHAnsi" w:cstheme="minorHAnsi"/>
        </w:rPr>
        <w:t xml:space="preserve"> when it is being used because of a person's mobility disability, unless there is a legitimate safety reason that it cannot be accommodated.</w:t>
      </w:r>
    </w:p>
    <w:p w14:paraId="02EB378F" w14:textId="77777777" w:rsidR="00A04D4B" w:rsidRPr="0026638D" w:rsidRDefault="00A04D4B" w:rsidP="0026638D">
      <w:pPr>
        <w:pStyle w:val="ListParagraph"/>
        <w:tabs>
          <w:tab w:val="left" w:pos="1092"/>
        </w:tabs>
        <w:ind w:left="1090" w:right="150" w:firstLine="0"/>
        <w:rPr>
          <w:rFonts w:asciiTheme="minorHAnsi" w:hAnsiTheme="minorHAnsi" w:cstheme="minorHAnsi"/>
        </w:rPr>
      </w:pPr>
    </w:p>
    <w:p w14:paraId="0911467A" w14:textId="77777777" w:rsidR="002D7C43" w:rsidRDefault="00C53367" w:rsidP="002D7C43">
      <w:pPr>
        <w:pStyle w:val="ListParagraph"/>
        <w:numPr>
          <w:ilvl w:val="1"/>
          <w:numId w:val="1"/>
        </w:numPr>
        <w:tabs>
          <w:tab w:val="left" w:pos="820"/>
        </w:tabs>
        <w:ind w:left="819" w:hanging="359"/>
        <w:rPr>
          <w:rFonts w:asciiTheme="minorHAnsi" w:hAnsiTheme="minorHAnsi" w:cstheme="minorHAnsi"/>
        </w:rPr>
      </w:pPr>
      <w:r w:rsidRPr="0026638D">
        <w:rPr>
          <w:rFonts w:asciiTheme="minorHAnsi" w:hAnsiTheme="minorHAnsi" w:cstheme="minorHAnsi"/>
          <w:u w:val="single"/>
        </w:rPr>
        <w:t>Allowance/Accompany</w:t>
      </w:r>
    </w:p>
    <w:p w14:paraId="5E1B9D39" w14:textId="77777777" w:rsid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 xml:space="preserve">Milwaukee County will allow people with disabilities who use manual or power </w:t>
      </w:r>
      <w:hyperlink w:anchor="Wheelchair" w:history="1">
        <w:r w:rsidRPr="002D7C43">
          <w:rPr>
            <w:rStyle w:val="Hyperlink"/>
            <w:rFonts w:asciiTheme="minorHAnsi" w:hAnsiTheme="minorHAnsi" w:cstheme="minorHAnsi"/>
          </w:rPr>
          <w:t>wheelchairs</w:t>
        </w:r>
      </w:hyperlink>
      <w:r w:rsidRPr="002D7C43">
        <w:rPr>
          <w:rFonts w:asciiTheme="minorHAnsi" w:hAnsiTheme="minorHAnsi" w:cstheme="minorHAnsi"/>
        </w:rPr>
        <w:t xml:space="preserve"> or scooters, and </w:t>
      </w:r>
      <w:hyperlink w:anchor="ManuallyPoweredMobilityAids" w:history="1">
        <w:r w:rsidRPr="002D7C43">
          <w:rPr>
            <w:rStyle w:val="Hyperlink"/>
            <w:rFonts w:asciiTheme="minorHAnsi" w:hAnsiTheme="minorHAnsi" w:cstheme="minorHAnsi"/>
          </w:rPr>
          <w:t>manually-powered mobility aids</w:t>
        </w:r>
      </w:hyperlink>
      <w:r w:rsidRPr="002D7C43">
        <w:rPr>
          <w:rFonts w:asciiTheme="minorHAnsi" w:hAnsiTheme="minorHAnsi" w:cstheme="minorHAnsi"/>
        </w:rPr>
        <w:t xml:space="preserve"> such as walkers, crutches, and canes, into all areas where members of the public are allowed to</w:t>
      </w:r>
      <w:r w:rsidRPr="002D7C43">
        <w:rPr>
          <w:rFonts w:asciiTheme="minorHAnsi" w:hAnsiTheme="minorHAnsi" w:cstheme="minorHAnsi"/>
          <w:spacing w:val="-12"/>
        </w:rPr>
        <w:t xml:space="preserve"> </w:t>
      </w:r>
      <w:r w:rsidRPr="002D7C43">
        <w:rPr>
          <w:rFonts w:asciiTheme="minorHAnsi" w:hAnsiTheme="minorHAnsi" w:cstheme="minorHAnsi"/>
        </w:rPr>
        <w:t>go.</w:t>
      </w:r>
    </w:p>
    <w:p w14:paraId="089EEDE8" w14:textId="77777777" w:rsid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 xml:space="preserve">Milwaukee County will allow people with disabilities who use other </w:t>
      </w:r>
      <w:hyperlink w:anchor="OPDMD" w:history="1">
        <w:r w:rsidRPr="002D7C43">
          <w:rPr>
            <w:rStyle w:val="Hyperlink"/>
            <w:rFonts w:asciiTheme="minorHAnsi" w:hAnsiTheme="minorHAnsi" w:cstheme="minorHAnsi"/>
          </w:rPr>
          <w:t>power-driven mobility devices</w:t>
        </w:r>
      </w:hyperlink>
      <w:r w:rsidRPr="002D7C43">
        <w:rPr>
          <w:rFonts w:asciiTheme="minorHAnsi" w:hAnsiTheme="minorHAnsi" w:cstheme="minorHAnsi"/>
        </w:rPr>
        <w:t xml:space="preserve"> into their facilities, unless a </w:t>
      </w:r>
      <w:r w:rsidR="00F17BED" w:rsidRPr="002D7C43">
        <w:rPr>
          <w:rFonts w:asciiTheme="minorHAnsi" w:hAnsiTheme="minorHAnsi" w:cstheme="minorHAnsi"/>
        </w:rPr>
        <w:t>device</w:t>
      </w:r>
      <w:r w:rsidRPr="002D7C43">
        <w:rPr>
          <w:rFonts w:asciiTheme="minorHAnsi" w:hAnsiTheme="minorHAnsi" w:cstheme="minorHAnsi"/>
        </w:rPr>
        <w:t xml:space="preserve"> cannot be accommodated because of legitimate safety requirements. Where legitimate safety requirements bar accommodation for a </w:t>
      </w:r>
      <w:r w:rsidR="007D5F01" w:rsidRPr="002D7C43">
        <w:rPr>
          <w:rFonts w:asciiTheme="minorHAnsi" w:hAnsiTheme="minorHAnsi" w:cstheme="minorHAnsi"/>
        </w:rPr>
        <w:t>device</w:t>
      </w:r>
      <w:r w:rsidRPr="002D7C43">
        <w:rPr>
          <w:rFonts w:asciiTheme="minorHAnsi" w:hAnsiTheme="minorHAnsi" w:cstheme="minorHAnsi"/>
        </w:rPr>
        <w:t>, Milwaukee County will provide the service in alternate ways if</w:t>
      </w:r>
      <w:r w:rsidRPr="002D7C43">
        <w:rPr>
          <w:rFonts w:asciiTheme="minorHAnsi" w:hAnsiTheme="minorHAnsi" w:cstheme="minorHAnsi"/>
          <w:spacing w:val="-3"/>
        </w:rPr>
        <w:t xml:space="preserve"> </w:t>
      </w:r>
      <w:r w:rsidRPr="002D7C43">
        <w:rPr>
          <w:rFonts w:asciiTheme="minorHAnsi" w:hAnsiTheme="minorHAnsi" w:cstheme="minorHAnsi"/>
        </w:rPr>
        <w:t>possible.</w:t>
      </w:r>
    </w:p>
    <w:p w14:paraId="6156A54B" w14:textId="3EE23F30" w:rsidR="00FE1BD8" w:rsidRP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Five</w:t>
      </w:r>
      <w:r w:rsidR="00C50DEB" w:rsidRPr="002D7C43">
        <w:rPr>
          <w:rFonts w:asciiTheme="minorHAnsi" w:hAnsiTheme="minorHAnsi" w:cstheme="minorHAnsi"/>
        </w:rPr>
        <w:t xml:space="preserve"> (5)</w:t>
      </w:r>
      <w:r w:rsidRPr="002D7C43">
        <w:rPr>
          <w:rFonts w:asciiTheme="minorHAnsi" w:hAnsiTheme="minorHAnsi" w:cstheme="minorHAnsi"/>
        </w:rPr>
        <w:t xml:space="preserve"> specific assessment factors will be considered </w:t>
      </w:r>
      <w:r w:rsidR="007D5F01" w:rsidRPr="002D7C43">
        <w:rPr>
          <w:rFonts w:asciiTheme="minorHAnsi" w:hAnsiTheme="minorHAnsi" w:cstheme="minorHAnsi"/>
        </w:rPr>
        <w:t>whether</w:t>
      </w:r>
      <w:r w:rsidRPr="002D7C43">
        <w:rPr>
          <w:rFonts w:asciiTheme="minorHAnsi" w:hAnsiTheme="minorHAnsi" w:cstheme="minorHAnsi"/>
        </w:rPr>
        <w:t xml:space="preserve"> a </w:t>
      </w:r>
      <w:proofErr w:type="gramStart"/>
      <w:r w:rsidRPr="002D7C43">
        <w:rPr>
          <w:rFonts w:asciiTheme="minorHAnsi" w:hAnsiTheme="minorHAnsi" w:cstheme="minorHAnsi"/>
        </w:rPr>
        <w:t>particular type of other</w:t>
      </w:r>
      <w:proofErr w:type="gramEnd"/>
      <w:r w:rsidRPr="002D7C43">
        <w:rPr>
          <w:rFonts w:asciiTheme="minorHAnsi" w:hAnsiTheme="minorHAnsi" w:cstheme="minorHAnsi"/>
        </w:rPr>
        <w:t xml:space="preserve"> power-driven mobility device can be</w:t>
      </w:r>
      <w:r w:rsidRPr="002D7C43">
        <w:rPr>
          <w:rFonts w:asciiTheme="minorHAnsi" w:hAnsiTheme="minorHAnsi" w:cstheme="minorHAnsi"/>
          <w:spacing w:val="-3"/>
        </w:rPr>
        <w:t xml:space="preserve"> </w:t>
      </w:r>
      <w:r w:rsidRPr="002D7C43">
        <w:rPr>
          <w:rFonts w:asciiTheme="minorHAnsi" w:hAnsiTheme="minorHAnsi" w:cstheme="minorHAnsi"/>
        </w:rPr>
        <w:t>accommodated.</w:t>
      </w:r>
    </w:p>
    <w:p w14:paraId="6A05A809" w14:textId="77777777" w:rsidR="00A04D4B" w:rsidRPr="0026638D" w:rsidRDefault="00A04D4B" w:rsidP="0026638D">
      <w:pPr>
        <w:pStyle w:val="ListParagraph"/>
        <w:tabs>
          <w:tab w:val="left" w:pos="1091"/>
        </w:tabs>
        <w:ind w:left="1090" w:right="292" w:firstLine="0"/>
        <w:rPr>
          <w:rFonts w:asciiTheme="minorHAnsi" w:hAnsiTheme="minorHAnsi" w:cstheme="minorHAnsi"/>
        </w:rPr>
      </w:pPr>
    </w:p>
    <w:p w14:paraId="362070A3" w14:textId="77777777" w:rsidR="002D7C43" w:rsidRPr="002D7C43" w:rsidRDefault="00C53367" w:rsidP="002D7C43">
      <w:pPr>
        <w:pStyle w:val="ListParagraph"/>
        <w:numPr>
          <w:ilvl w:val="1"/>
          <w:numId w:val="1"/>
        </w:numPr>
        <w:tabs>
          <w:tab w:val="left" w:pos="821"/>
        </w:tabs>
        <w:rPr>
          <w:rFonts w:asciiTheme="minorHAnsi" w:hAnsiTheme="minorHAnsi" w:cstheme="minorHAnsi"/>
        </w:rPr>
      </w:pPr>
      <w:r w:rsidRPr="0026638D">
        <w:rPr>
          <w:rFonts w:asciiTheme="minorHAnsi" w:hAnsiTheme="minorHAnsi" w:cstheme="minorHAnsi"/>
          <w:u w:val="single"/>
        </w:rPr>
        <w:t>Five Assessment Factors for Other Power-Driven Mobility</w:t>
      </w:r>
      <w:r w:rsidRPr="0026638D">
        <w:rPr>
          <w:rFonts w:asciiTheme="minorHAnsi" w:hAnsiTheme="minorHAnsi" w:cstheme="minorHAnsi"/>
          <w:spacing w:val="-8"/>
          <w:u w:val="single"/>
        </w:rPr>
        <w:t xml:space="preserve"> </w:t>
      </w:r>
      <w:r w:rsidRPr="0026638D">
        <w:rPr>
          <w:rFonts w:asciiTheme="minorHAnsi" w:hAnsiTheme="minorHAnsi" w:cstheme="minorHAnsi"/>
          <w:u w:val="single"/>
        </w:rPr>
        <w:t>Devices</w:t>
      </w:r>
    </w:p>
    <w:p w14:paraId="608D8033" w14:textId="77777777" w:rsidR="002D7C43" w:rsidRDefault="002D7C43" w:rsidP="002D7C43">
      <w:pPr>
        <w:pStyle w:val="ListParagraph"/>
        <w:numPr>
          <w:ilvl w:val="2"/>
          <w:numId w:val="1"/>
        </w:numPr>
        <w:tabs>
          <w:tab w:val="left" w:pos="821"/>
        </w:tabs>
        <w:rPr>
          <w:rFonts w:asciiTheme="minorHAnsi" w:hAnsiTheme="minorHAnsi" w:cstheme="minorHAnsi"/>
        </w:rPr>
      </w:pPr>
      <w:r w:rsidRPr="002D7C43">
        <w:rPr>
          <w:rFonts w:asciiTheme="minorHAnsi" w:hAnsiTheme="minorHAnsi" w:cstheme="minorHAnsi"/>
        </w:rPr>
        <w:t xml:space="preserve">A safety assessment is made regarding the class of devices, rather than an individual’s use of the device. </w:t>
      </w:r>
      <w:r w:rsidR="00C53367" w:rsidRPr="002D7C43">
        <w:rPr>
          <w:rFonts w:asciiTheme="minorHAnsi" w:hAnsiTheme="minorHAnsi" w:cstheme="minorHAnsi"/>
        </w:rPr>
        <w:t xml:space="preserve">All types of devices powered by fuel or combustion engines, for example, are excluded from indoor settings for health and environmental </w:t>
      </w:r>
      <w:r w:rsidR="007D5F01" w:rsidRPr="002D7C43">
        <w:rPr>
          <w:rFonts w:asciiTheme="minorHAnsi" w:hAnsiTheme="minorHAnsi" w:cstheme="minorHAnsi"/>
        </w:rPr>
        <w:t>reasons but</w:t>
      </w:r>
      <w:r w:rsidR="00C53367" w:rsidRPr="002D7C43">
        <w:rPr>
          <w:rFonts w:asciiTheme="minorHAnsi" w:hAnsiTheme="minorHAnsi" w:cstheme="minorHAnsi"/>
        </w:rPr>
        <w:t xml:space="preserve"> may be deemed acceptable in some outdoor settings. For safety reasons, larger electric devices such as golf cars may be excluded from narrow or crowded indoor and outdoor settings, however there is no valid reason to exclude smaller electric devices like </w:t>
      </w:r>
      <w:proofErr w:type="spellStart"/>
      <w:r w:rsidR="00C53367" w:rsidRPr="002D7C43">
        <w:rPr>
          <w:rFonts w:asciiTheme="minorHAnsi" w:hAnsiTheme="minorHAnsi" w:cstheme="minorHAnsi"/>
        </w:rPr>
        <w:t>Segways</w:t>
      </w:r>
      <w:proofErr w:type="spellEnd"/>
      <w:r w:rsidR="00C53367" w:rsidRPr="002D7C43">
        <w:rPr>
          <w:rFonts w:asciiTheme="minorHAnsi" w:hAnsiTheme="minorHAnsi" w:cstheme="minorHAnsi"/>
          <w:vertAlign w:val="superscript"/>
        </w:rPr>
        <w:t>®</w:t>
      </w:r>
      <w:r w:rsidR="00C53367" w:rsidRPr="002D7C43">
        <w:rPr>
          <w:rFonts w:asciiTheme="minorHAnsi" w:hAnsiTheme="minorHAnsi" w:cstheme="minorHAnsi"/>
        </w:rPr>
        <w:t>.</w:t>
      </w:r>
    </w:p>
    <w:p w14:paraId="1DE0F8EB" w14:textId="7D331304" w:rsidR="007D5F01" w:rsidRPr="002D7C43" w:rsidRDefault="002D7C43" w:rsidP="002D7C43">
      <w:pPr>
        <w:pStyle w:val="ListParagraph"/>
        <w:numPr>
          <w:ilvl w:val="2"/>
          <w:numId w:val="1"/>
        </w:numPr>
        <w:tabs>
          <w:tab w:val="left" w:pos="821"/>
        </w:tabs>
        <w:rPr>
          <w:rFonts w:asciiTheme="minorHAnsi" w:hAnsiTheme="minorHAnsi" w:cstheme="minorHAnsi"/>
        </w:rPr>
      </w:pPr>
      <w:r w:rsidRPr="002D7C43">
        <w:rPr>
          <w:rFonts w:asciiTheme="minorHAnsi" w:hAnsiTheme="minorHAnsi" w:cstheme="minorHAnsi"/>
        </w:rPr>
        <w:t>The ADA regulations list specific factors</w:t>
      </w:r>
      <w:r w:rsidR="00C657EA">
        <w:rPr>
          <w:rFonts w:asciiTheme="minorHAnsi" w:hAnsiTheme="minorHAnsi" w:cstheme="minorHAnsi"/>
        </w:rPr>
        <w:t xml:space="preserve"> </w:t>
      </w:r>
      <w:r w:rsidRPr="002D7C43">
        <w:rPr>
          <w:rFonts w:asciiTheme="minorHAnsi" w:hAnsiTheme="minorHAnsi" w:cstheme="minorHAnsi"/>
        </w:rPr>
        <w:t xml:space="preserve">that Milwaukee County must consider in </w:t>
      </w:r>
      <w:proofErr w:type="gramStart"/>
      <w:r w:rsidRPr="002D7C43">
        <w:rPr>
          <w:rFonts w:asciiTheme="minorHAnsi" w:hAnsiTheme="minorHAnsi" w:cstheme="minorHAnsi"/>
        </w:rPr>
        <w:t>making a determination</w:t>
      </w:r>
      <w:proofErr w:type="gramEnd"/>
      <w:r w:rsidRPr="002D7C43">
        <w:rPr>
          <w:rFonts w:asciiTheme="minorHAnsi" w:hAnsiTheme="minorHAnsi" w:cstheme="minorHAnsi"/>
        </w:rPr>
        <w:t xml:space="preserve"> on the safety assessment. </w:t>
      </w:r>
      <w:r w:rsidR="007D5F01" w:rsidRPr="002D7C43">
        <w:rPr>
          <w:rFonts w:asciiTheme="minorHAnsi" w:hAnsiTheme="minorHAnsi" w:cstheme="minorHAnsi"/>
        </w:rPr>
        <w:t>The five</w:t>
      </w:r>
      <w:r w:rsidR="00C50DEB" w:rsidRPr="002D7C43">
        <w:rPr>
          <w:rFonts w:asciiTheme="minorHAnsi" w:hAnsiTheme="minorHAnsi" w:cstheme="minorHAnsi"/>
        </w:rPr>
        <w:t xml:space="preserve"> (5)</w:t>
      </w:r>
      <w:r w:rsidR="007D5F01" w:rsidRPr="002D7C43">
        <w:rPr>
          <w:rFonts w:asciiTheme="minorHAnsi" w:hAnsiTheme="minorHAnsi" w:cstheme="minorHAnsi"/>
        </w:rPr>
        <w:t xml:space="preserve"> assessment factors when considering whether a </w:t>
      </w:r>
      <w:proofErr w:type="gramStart"/>
      <w:r w:rsidR="007D5F01" w:rsidRPr="002D7C43">
        <w:rPr>
          <w:rFonts w:asciiTheme="minorHAnsi" w:hAnsiTheme="minorHAnsi" w:cstheme="minorHAnsi"/>
        </w:rPr>
        <w:t>particular type of other</w:t>
      </w:r>
      <w:proofErr w:type="gramEnd"/>
      <w:r w:rsidR="007D5F01" w:rsidRPr="002D7C43">
        <w:rPr>
          <w:rFonts w:asciiTheme="minorHAnsi" w:hAnsiTheme="minorHAnsi" w:cstheme="minorHAnsi"/>
        </w:rPr>
        <w:t xml:space="preserve"> power-driven mobility devi</w:t>
      </w:r>
      <w:r w:rsidR="00451695" w:rsidRPr="002D7C43">
        <w:rPr>
          <w:rFonts w:asciiTheme="minorHAnsi" w:hAnsiTheme="minorHAnsi" w:cstheme="minorHAnsi"/>
        </w:rPr>
        <w:t>c</w:t>
      </w:r>
      <w:r w:rsidR="007D5F01" w:rsidRPr="002D7C43">
        <w:rPr>
          <w:rFonts w:asciiTheme="minorHAnsi" w:hAnsiTheme="minorHAnsi" w:cstheme="minorHAnsi"/>
        </w:rPr>
        <w:t>e can be accommodated include:</w:t>
      </w:r>
    </w:p>
    <w:p w14:paraId="3A6F0AFD" w14:textId="77777777" w:rsidR="007D5F01" w:rsidRPr="0026638D" w:rsidRDefault="007D5F01" w:rsidP="002D7C43">
      <w:pPr>
        <w:pStyle w:val="ListParagraph"/>
        <w:numPr>
          <w:ilvl w:val="3"/>
          <w:numId w:val="1"/>
        </w:numPr>
        <w:ind w:left="1440" w:hanging="360"/>
        <w:rPr>
          <w:rFonts w:asciiTheme="minorHAnsi" w:hAnsiTheme="minorHAnsi" w:cstheme="minorHAnsi"/>
        </w:rPr>
      </w:pPr>
      <w:r w:rsidRPr="0026638D">
        <w:rPr>
          <w:rFonts w:asciiTheme="minorHAnsi" w:hAnsiTheme="minorHAnsi" w:cstheme="minorHAnsi"/>
        </w:rPr>
        <w:t>T</w:t>
      </w:r>
      <w:r w:rsidR="00C53367" w:rsidRPr="0026638D">
        <w:rPr>
          <w:rFonts w:asciiTheme="minorHAnsi" w:hAnsiTheme="minorHAnsi" w:cstheme="minorHAnsi"/>
        </w:rPr>
        <w:t>he type, size, weight, dimensions, and speed of the</w:t>
      </w:r>
      <w:r w:rsidR="00C53367" w:rsidRPr="0026638D">
        <w:rPr>
          <w:rFonts w:asciiTheme="minorHAnsi" w:hAnsiTheme="minorHAnsi" w:cstheme="minorHAnsi"/>
          <w:spacing w:val="-7"/>
        </w:rPr>
        <w:t xml:space="preserve"> </w:t>
      </w:r>
      <w:r w:rsidR="00C53367" w:rsidRPr="0026638D">
        <w:rPr>
          <w:rFonts w:asciiTheme="minorHAnsi" w:hAnsiTheme="minorHAnsi" w:cstheme="minorHAnsi"/>
        </w:rPr>
        <w:t>device;</w:t>
      </w:r>
    </w:p>
    <w:p w14:paraId="621916C0" w14:textId="77777777" w:rsidR="007D5F01" w:rsidRPr="0026638D" w:rsidRDefault="007D5F01" w:rsidP="0026638D">
      <w:pPr>
        <w:pStyle w:val="ListParagraph"/>
        <w:numPr>
          <w:ilvl w:val="3"/>
          <w:numId w:val="1"/>
        </w:numPr>
        <w:ind w:left="1440" w:hanging="360"/>
        <w:rPr>
          <w:rFonts w:asciiTheme="minorHAnsi" w:hAnsiTheme="minorHAnsi" w:cstheme="minorHAnsi"/>
        </w:rPr>
      </w:pPr>
      <w:r w:rsidRPr="0026638D">
        <w:rPr>
          <w:rFonts w:asciiTheme="minorHAnsi" w:hAnsiTheme="minorHAnsi" w:cstheme="minorHAnsi"/>
        </w:rPr>
        <w:t>T</w:t>
      </w:r>
      <w:r w:rsidR="00C53367" w:rsidRPr="0026638D">
        <w:rPr>
          <w:rFonts w:asciiTheme="minorHAnsi" w:hAnsiTheme="minorHAnsi" w:cstheme="minorHAnsi"/>
        </w:rPr>
        <w:t>he facility's volume of pedestrian traffic (which may vary at different times of the day, week, month, or</w:t>
      </w:r>
      <w:r w:rsidR="00C53367" w:rsidRPr="0026638D">
        <w:rPr>
          <w:rFonts w:asciiTheme="minorHAnsi" w:hAnsiTheme="minorHAnsi" w:cstheme="minorHAnsi"/>
          <w:spacing w:val="-3"/>
        </w:rPr>
        <w:t xml:space="preserve"> </w:t>
      </w:r>
      <w:r w:rsidR="00C53367" w:rsidRPr="0026638D">
        <w:rPr>
          <w:rFonts w:asciiTheme="minorHAnsi" w:hAnsiTheme="minorHAnsi" w:cstheme="minorHAnsi"/>
        </w:rPr>
        <w:t>year);</w:t>
      </w:r>
    </w:p>
    <w:p w14:paraId="4D811A2F" w14:textId="77777777" w:rsidR="00FE1BD8" w:rsidRPr="0026638D" w:rsidRDefault="007D5F01" w:rsidP="0026638D">
      <w:pPr>
        <w:pStyle w:val="ListParagraph"/>
        <w:numPr>
          <w:ilvl w:val="3"/>
          <w:numId w:val="1"/>
        </w:numPr>
        <w:ind w:left="1440" w:hanging="360"/>
        <w:rPr>
          <w:rFonts w:asciiTheme="minorHAnsi" w:hAnsiTheme="minorHAnsi" w:cstheme="minorHAnsi"/>
        </w:rPr>
      </w:pPr>
      <w:r w:rsidRPr="0026638D">
        <w:rPr>
          <w:rFonts w:asciiTheme="minorHAnsi" w:hAnsiTheme="minorHAnsi" w:cstheme="minorHAnsi"/>
        </w:rPr>
        <w:t>T</w:t>
      </w:r>
      <w:r w:rsidR="00C53367" w:rsidRPr="0026638D">
        <w:rPr>
          <w:rFonts w:asciiTheme="minorHAnsi" w:hAnsiTheme="minorHAnsi" w:cstheme="minorHAnsi"/>
        </w:rPr>
        <w:t>he facility's design and operational characteristics (e.g., whether its business is conducted indoors or outdoors, its square footage, the density and placement of furniture and other stationary devices, and the availability of storage for the OPDMD if needed and requested by the user);</w:t>
      </w:r>
    </w:p>
    <w:p w14:paraId="45103E69" w14:textId="77777777" w:rsidR="00FE1BD8" w:rsidRPr="0026638D" w:rsidRDefault="007D5F01" w:rsidP="0026638D">
      <w:pPr>
        <w:pStyle w:val="ListParagraph"/>
        <w:numPr>
          <w:ilvl w:val="3"/>
          <w:numId w:val="1"/>
        </w:numPr>
        <w:ind w:left="1440" w:right="143" w:hanging="360"/>
        <w:rPr>
          <w:rFonts w:asciiTheme="minorHAnsi" w:hAnsiTheme="minorHAnsi" w:cstheme="minorHAnsi"/>
        </w:rPr>
      </w:pPr>
      <w:r w:rsidRPr="0026638D">
        <w:rPr>
          <w:rFonts w:asciiTheme="minorHAnsi" w:hAnsiTheme="minorHAnsi" w:cstheme="minorHAnsi"/>
        </w:rPr>
        <w:t>W</w:t>
      </w:r>
      <w:r w:rsidR="00C53367" w:rsidRPr="0026638D">
        <w:rPr>
          <w:rFonts w:asciiTheme="minorHAnsi" w:hAnsiTheme="minorHAnsi" w:cstheme="minorHAnsi"/>
        </w:rPr>
        <w:t>hether legitimate safety requirements (such as limiting speed to the pace of pedestrian traffic or prohibiting use on escalators) can be established to permit the safe operation of the OPDMD in the specific facility;</w:t>
      </w:r>
      <w:r w:rsidR="00C53367" w:rsidRPr="0026638D">
        <w:rPr>
          <w:rFonts w:asciiTheme="minorHAnsi" w:hAnsiTheme="minorHAnsi" w:cstheme="minorHAnsi"/>
          <w:spacing w:val="-1"/>
        </w:rPr>
        <w:t xml:space="preserve"> </w:t>
      </w:r>
      <w:r w:rsidR="00C53367" w:rsidRPr="0026638D">
        <w:rPr>
          <w:rFonts w:asciiTheme="minorHAnsi" w:hAnsiTheme="minorHAnsi" w:cstheme="minorHAnsi"/>
        </w:rPr>
        <w:t>and</w:t>
      </w:r>
    </w:p>
    <w:p w14:paraId="140AFE0D" w14:textId="77777777" w:rsidR="00FE1BD8" w:rsidRPr="0026638D" w:rsidRDefault="007D5F01" w:rsidP="0026638D">
      <w:pPr>
        <w:pStyle w:val="ListParagraph"/>
        <w:numPr>
          <w:ilvl w:val="3"/>
          <w:numId w:val="1"/>
        </w:numPr>
        <w:ind w:left="1440" w:right="367" w:hanging="360"/>
        <w:rPr>
          <w:rFonts w:asciiTheme="minorHAnsi" w:hAnsiTheme="minorHAnsi" w:cstheme="minorHAnsi"/>
        </w:rPr>
      </w:pPr>
      <w:r w:rsidRPr="0026638D">
        <w:rPr>
          <w:rFonts w:asciiTheme="minorHAnsi" w:hAnsiTheme="minorHAnsi" w:cstheme="minorHAnsi"/>
        </w:rPr>
        <w:t>W</w:t>
      </w:r>
      <w:r w:rsidR="00C53367" w:rsidRPr="0026638D">
        <w:rPr>
          <w:rFonts w:asciiTheme="minorHAnsi" w:hAnsiTheme="minorHAnsi" w:cstheme="minorHAnsi"/>
        </w:rPr>
        <w:t xml:space="preserve">hether the use of the OPDMD creates a substantial risk of serious harm to the immediate environment or natural or cultural </w:t>
      </w:r>
      <w:r w:rsidR="00780403" w:rsidRPr="0026638D">
        <w:rPr>
          <w:rFonts w:asciiTheme="minorHAnsi" w:hAnsiTheme="minorHAnsi" w:cstheme="minorHAnsi"/>
        </w:rPr>
        <w:t>resources or</w:t>
      </w:r>
      <w:r w:rsidR="00C53367" w:rsidRPr="0026638D">
        <w:rPr>
          <w:rFonts w:asciiTheme="minorHAnsi" w:hAnsiTheme="minorHAnsi" w:cstheme="minorHAnsi"/>
        </w:rPr>
        <w:t xml:space="preserve"> poses a conflict with Federal land management laws and</w:t>
      </w:r>
      <w:r w:rsidR="00C53367" w:rsidRPr="0026638D">
        <w:rPr>
          <w:rFonts w:asciiTheme="minorHAnsi" w:hAnsiTheme="minorHAnsi" w:cstheme="minorHAnsi"/>
          <w:spacing w:val="-6"/>
        </w:rPr>
        <w:t xml:space="preserve"> </w:t>
      </w:r>
      <w:r w:rsidR="00C53367" w:rsidRPr="0026638D">
        <w:rPr>
          <w:rFonts w:asciiTheme="minorHAnsi" w:hAnsiTheme="minorHAnsi" w:cstheme="minorHAnsi"/>
        </w:rPr>
        <w:t>regulations.</w:t>
      </w:r>
    </w:p>
    <w:p w14:paraId="5A39BBE3" w14:textId="77777777" w:rsidR="00A04D4B" w:rsidRPr="0026638D" w:rsidRDefault="00A04D4B" w:rsidP="0026638D">
      <w:pPr>
        <w:pStyle w:val="ListParagraph"/>
        <w:tabs>
          <w:tab w:val="left" w:pos="1092"/>
        </w:tabs>
        <w:ind w:right="367" w:firstLine="0"/>
        <w:rPr>
          <w:rFonts w:asciiTheme="minorHAnsi" w:hAnsiTheme="minorHAnsi" w:cstheme="minorHAnsi"/>
        </w:rPr>
      </w:pPr>
    </w:p>
    <w:p w14:paraId="00252827" w14:textId="77777777" w:rsidR="002D7C43" w:rsidRDefault="00C53367" w:rsidP="002D7C43">
      <w:pPr>
        <w:pStyle w:val="ListParagraph"/>
        <w:numPr>
          <w:ilvl w:val="1"/>
          <w:numId w:val="1"/>
        </w:numPr>
        <w:tabs>
          <w:tab w:val="left" w:pos="821"/>
        </w:tabs>
        <w:rPr>
          <w:rFonts w:asciiTheme="minorHAnsi" w:hAnsiTheme="minorHAnsi" w:cstheme="minorHAnsi"/>
        </w:rPr>
      </w:pPr>
      <w:r w:rsidRPr="0026638D">
        <w:rPr>
          <w:rFonts w:asciiTheme="minorHAnsi" w:hAnsiTheme="minorHAnsi" w:cstheme="minorHAnsi"/>
          <w:u w:val="single"/>
        </w:rPr>
        <w:t>Use of</w:t>
      </w:r>
      <w:r w:rsidRPr="0026638D">
        <w:rPr>
          <w:rFonts w:asciiTheme="minorHAnsi" w:hAnsiTheme="minorHAnsi" w:cstheme="minorHAnsi"/>
          <w:spacing w:val="-3"/>
          <w:u w:val="single"/>
        </w:rPr>
        <w:t xml:space="preserve"> </w:t>
      </w:r>
      <w:r w:rsidRPr="0026638D">
        <w:rPr>
          <w:rFonts w:asciiTheme="minorHAnsi" w:hAnsiTheme="minorHAnsi" w:cstheme="minorHAnsi"/>
          <w:u w:val="single"/>
        </w:rPr>
        <w:t>OPDMD’s</w:t>
      </w:r>
    </w:p>
    <w:p w14:paraId="0724E8CC" w14:textId="77777777" w:rsidR="002D7C43" w:rsidRDefault="00C53367" w:rsidP="002D7C43">
      <w:pPr>
        <w:pStyle w:val="ListParagraph"/>
        <w:numPr>
          <w:ilvl w:val="2"/>
          <w:numId w:val="1"/>
        </w:numPr>
        <w:tabs>
          <w:tab w:val="left" w:pos="821"/>
        </w:tabs>
        <w:rPr>
          <w:rFonts w:asciiTheme="minorHAnsi" w:hAnsiTheme="minorHAnsi" w:cstheme="minorHAnsi"/>
        </w:rPr>
      </w:pPr>
      <w:r w:rsidRPr="002D7C43">
        <w:rPr>
          <w:rFonts w:asciiTheme="minorHAnsi" w:hAnsiTheme="minorHAnsi" w:cstheme="minorHAnsi"/>
        </w:rPr>
        <w:t>The user will operate the device at the speed of pedestrian</w:t>
      </w:r>
      <w:r w:rsidRPr="002D7C43">
        <w:rPr>
          <w:rFonts w:asciiTheme="minorHAnsi" w:hAnsiTheme="minorHAnsi" w:cstheme="minorHAnsi"/>
          <w:spacing w:val="-10"/>
        </w:rPr>
        <w:t xml:space="preserve"> </w:t>
      </w:r>
      <w:r w:rsidRPr="002D7C43">
        <w:rPr>
          <w:rFonts w:asciiTheme="minorHAnsi" w:hAnsiTheme="minorHAnsi" w:cstheme="minorHAnsi"/>
        </w:rPr>
        <w:t>traffic.</w:t>
      </w:r>
    </w:p>
    <w:p w14:paraId="1B4F537B" w14:textId="77777777" w:rsidR="002D7C43" w:rsidRDefault="00C53367" w:rsidP="002D7C43">
      <w:pPr>
        <w:pStyle w:val="ListParagraph"/>
        <w:numPr>
          <w:ilvl w:val="2"/>
          <w:numId w:val="1"/>
        </w:numPr>
        <w:tabs>
          <w:tab w:val="left" w:pos="821"/>
        </w:tabs>
        <w:rPr>
          <w:rFonts w:asciiTheme="minorHAnsi" w:hAnsiTheme="minorHAnsi" w:cstheme="minorHAnsi"/>
        </w:rPr>
      </w:pPr>
      <w:r w:rsidRPr="002D7C43">
        <w:rPr>
          <w:rFonts w:asciiTheme="minorHAnsi" w:hAnsiTheme="minorHAnsi" w:cstheme="minorHAnsi"/>
        </w:rPr>
        <w:t>All types of devices powered by fuel or combustion engines are excluded from indoor settings for health and environmental</w:t>
      </w:r>
      <w:r w:rsidRPr="002D7C43">
        <w:rPr>
          <w:rFonts w:asciiTheme="minorHAnsi" w:hAnsiTheme="minorHAnsi" w:cstheme="minorHAnsi"/>
          <w:spacing w:val="-3"/>
        </w:rPr>
        <w:t xml:space="preserve"> </w:t>
      </w:r>
      <w:r w:rsidRPr="002D7C43">
        <w:rPr>
          <w:rFonts w:asciiTheme="minorHAnsi" w:hAnsiTheme="minorHAnsi" w:cstheme="minorHAnsi"/>
        </w:rPr>
        <w:t>reasons.</w:t>
      </w:r>
    </w:p>
    <w:p w14:paraId="4BD7DD65" w14:textId="77777777" w:rsidR="002D7C43" w:rsidRDefault="00C53367" w:rsidP="002D7C43">
      <w:pPr>
        <w:pStyle w:val="ListParagraph"/>
        <w:numPr>
          <w:ilvl w:val="2"/>
          <w:numId w:val="1"/>
        </w:numPr>
        <w:tabs>
          <w:tab w:val="left" w:pos="821"/>
        </w:tabs>
        <w:rPr>
          <w:rFonts w:asciiTheme="minorHAnsi" w:hAnsiTheme="minorHAnsi" w:cstheme="minorHAnsi"/>
        </w:rPr>
      </w:pPr>
      <w:r w:rsidRPr="002D7C43">
        <w:rPr>
          <w:rFonts w:asciiTheme="minorHAnsi" w:hAnsiTheme="minorHAnsi" w:cstheme="minorHAnsi"/>
        </w:rPr>
        <w:t>At security screening machines, users may be asked to leave their device and, if able, walk through the screening device. Those who are unable to walk through the screening device will be hand screened by security</w:t>
      </w:r>
      <w:r w:rsidRPr="002D7C43">
        <w:rPr>
          <w:rFonts w:asciiTheme="minorHAnsi" w:hAnsiTheme="minorHAnsi" w:cstheme="minorHAnsi"/>
          <w:spacing w:val="-4"/>
        </w:rPr>
        <w:t xml:space="preserve"> </w:t>
      </w:r>
      <w:r w:rsidRPr="002D7C43">
        <w:rPr>
          <w:rFonts w:asciiTheme="minorHAnsi" w:hAnsiTheme="minorHAnsi" w:cstheme="minorHAnsi"/>
        </w:rPr>
        <w:t>personnel.</w:t>
      </w:r>
    </w:p>
    <w:p w14:paraId="375CD4F0" w14:textId="6A013840" w:rsidR="00FE1BD8" w:rsidRPr="002D7C43" w:rsidRDefault="00C53367" w:rsidP="002D7C43">
      <w:pPr>
        <w:pStyle w:val="ListParagraph"/>
        <w:numPr>
          <w:ilvl w:val="2"/>
          <w:numId w:val="1"/>
        </w:numPr>
        <w:tabs>
          <w:tab w:val="left" w:pos="821"/>
        </w:tabs>
        <w:rPr>
          <w:rFonts w:asciiTheme="minorHAnsi" w:hAnsiTheme="minorHAnsi" w:cstheme="minorHAnsi"/>
        </w:rPr>
      </w:pPr>
      <w:r w:rsidRPr="002D7C43">
        <w:rPr>
          <w:rFonts w:asciiTheme="minorHAnsi" w:hAnsiTheme="minorHAnsi" w:cstheme="minorHAnsi"/>
        </w:rPr>
        <w:t xml:space="preserve">Owners of the devices are responsible for the devices when not being used within Milwaukee </w:t>
      </w:r>
      <w:r w:rsidRPr="002D7C43">
        <w:rPr>
          <w:rFonts w:asciiTheme="minorHAnsi" w:hAnsiTheme="minorHAnsi" w:cstheme="minorHAnsi"/>
        </w:rPr>
        <w:lastRenderedPageBreak/>
        <w:t>County buildings or grounds. Milwaukee County may provide storage of these devices when not in use if there is a secured space to do</w:t>
      </w:r>
      <w:r w:rsidRPr="002D7C43">
        <w:rPr>
          <w:rFonts w:asciiTheme="minorHAnsi" w:hAnsiTheme="minorHAnsi" w:cstheme="minorHAnsi"/>
          <w:spacing w:val="-9"/>
        </w:rPr>
        <w:t xml:space="preserve"> </w:t>
      </w:r>
      <w:r w:rsidRPr="002D7C43">
        <w:rPr>
          <w:rFonts w:asciiTheme="minorHAnsi" w:hAnsiTheme="minorHAnsi" w:cstheme="minorHAnsi"/>
        </w:rPr>
        <w:t>so.</w:t>
      </w:r>
    </w:p>
    <w:p w14:paraId="41C8F396" w14:textId="77777777" w:rsidR="00A04D4B" w:rsidRPr="0026638D" w:rsidRDefault="00A04D4B" w:rsidP="0026638D">
      <w:pPr>
        <w:pStyle w:val="ListParagraph"/>
        <w:tabs>
          <w:tab w:val="left" w:pos="1091"/>
        </w:tabs>
        <w:ind w:left="1090" w:right="133" w:firstLine="0"/>
        <w:rPr>
          <w:rFonts w:asciiTheme="minorHAnsi" w:hAnsiTheme="minorHAnsi" w:cstheme="minorHAnsi"/>
        </w:rPr>
      </w:pPr>
    </w:p>
    <w:p w14:paraId="6F89E174" w14:textId="77777777" w:rsidR="002D7C43" w:rsidRDefault="00C53367" w:rsidP="002D7C43">
      <w:pPr>
        <w:pStyle w:val="ListParagraph"/>
        <w:numPr>
          <w:ilvl w:val="1"/>
          <w:numId w:val="1"/>
        </w:numPr>
        <w:tabs>
          <w:tab w:val="left" w:pos="820"/>
        </w:tabs>
        <w:ind w:left="819" w:hanging="359"/>
        <w:rPr>
          <w:rFonts w:asciiTheme="minorHAnsi" w:hAnsiTheme="minorHAnsi" w:cstheme="minorHAnsi"/>
        </w:rPr>
      </w:pPr>
      <w:r w:rsidRPr="0026638D">
        <w:rPr>
          <w:rFonts w:asciiTheme="minorHAnsi" w:hAnsiTheme="minorHAnsi" w:cstheme="minorHAnsi"/>
          <w:u w:val="single"/>
        </w:rPr>
        <w:t>Questions Allowed / Not Allowed regarding use of</w:t>
      </w:r>
      <w:r w:rsidRPr="0026638D">
        <w:rPr>
          <w:rFonts w:asciiTheme="minorHAnsi" w:hAnsiTheme="minorHAnsi" w:cstheme="minorHAnsi"/>
          <w:spacing w:val="-11"/>
          <w:u w:val="single"/>
        </w:rPr>
        <w:t xml:space="preserve"> </w:t>
      </w:r>
      <w:r w:rsidRPr="0026638D">
        <w:rPr>
          <w:rFonts w:asciiTheme="minorHAnsi" w:hAnsiTheme="minorHAnsi" w:cstheme="minorHAnsi"/>
          <w:u w:val="single"/>
        </w:rPr>
        <w:t>OPDMD’s</w:t>
      </w:r>
    </w:p>
    <w:p w14:paraId="7B07188B" w14:textId="77777777" w:rsidR="002D7C43" w:rsidRDefault="00451695"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Milwaukee County Employee</w:t>
      </w:r>
      <w:r w:rsidR="00C53367" w:rsidRPr="002D7C43">
        <w:rPr>
          <w:rFonts w:asciiTheme="minorHAnsi" w:hAnsiTheme="minorHAnsi" w:cstheme="minorHAnsi"/>
        </w:rPr>
        <w:t xml:space="preserve"> </w:t>
      </w:r>
      <w:r w:rsidR="007D5F01" w:rsidRPr="002D7C43">
        <w:rPr>
          <w:rFonts w:asciiTheme="minorHAnsi" w:hAnsiTheme="minorHAnsi" w:cstheme="minorHAnsi"/>
        </w:rPr>
        <w:t>can</w:t>
      </w:r>
      <w:r w:rsidR="00C53367" w:rsidRPr="002D7C43">
        <w:rPr>
          <w:rFonts w:asciiTheme="minorHAnsi" w:hAnsiTheme="minorHAnsi" w:cstheme="minorHAnsi"/>
        </w:rPr>
        <w:t xml:space="preserve"> ask the person using the device to provide credible assurance that the device is used because of a</w:t>
      </w:r>
      <w:r w:rsidR="00C53367" w:rsidRPr="002D7C43">
        <w:rPr>
          <w:rFonts w:asciiTheme="minorHAnsi" w:hAnsiTheme="minorHAnsi" w:cstheme="minorHAnsi"/>
          <w:spacing w:val="-12"/>
        </w:rPr>
        <w:t xml:space="preserve"> </w:t>
      </w:r>
      <w:r w:rsidR="00C53367" w:rsidRPr="002D7C43">
        <w:rPr>
          <w:rFonts w:asciiTheme="minorHAnsi" w:hAnsiTheme="minorHAnsi" w:cstheme="minorHAnsi"/>
        </w:rPr>
        <w:t>disability.</w:t>
      </w:r>
    </w:p>
    <w:p w14:paraId="601D0965" w14:textId="77777777" w:rsid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If the person presents a valid, State-issued disability parking placard or card or a State-issued proof of disability, that must be accepted as credible assurance on its</w:t>
      </w:r>
      <w:r w:rsidRPr="002D7C43">
        <w:rPr>
          <w:rFonts w:asciiTheme="minorHAnsi" w:hAnsiTheme="minorHAnsi" w:cstheme="minorHAnsi"/>
          <w:spacing w:val="-19"/>
        </w:rPr>
        <w:t xml:space="preserve"> </w:t>
      </w:r>
      <w:r w:rsidRPr="002D7C43">
        <w:rPr>
          <w:rFonts w:asciiTheme="minorHAnsi" w:hAnsiTheme="minorHAnsi" w:cstheme="minorHAnsi"/>
        </w:rPr>
        <w:t>face.</w:t>
      </w:r>
    </w:p>
    <w:p w14:paraId="069CC631" w14:textId="77777777" w:rsid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If the person does not have this documentation, but states verbally that the OPDMD is being used because of a mobility disability that also must be accepted as credible assurance, unless the person is observed doing something that contradicts the assurance. For example, if a person is observed running and jumping, that may be evidence that contradicts the person's assertion of a mobility</w:t>
      </w:r>
      <w:r w:rsidRPr="002D7C43">
        <w:rPr>
          <w:rFonts w:asciiTheme="minorHAnsi" w:hAnsiTheme="minorHAnsi" w:cstheme="minorHAnsi"/>
          <w:spacing w:val="-3"/>
        </w:rPr>
        <w:t xml:space="preserve"> </w:t>
      </w:r>
      <w:r w:rsidRPr="002D7C43">
        <w:rPr>
          <w:rFonts w:asciiTheme="minorHAnsi" w:hAnsiTheme="minorHAnsi" w:cstheme="minorHAnsi"/>
        </w:rPr>
        <w:t>disability.</w:t>
      </w:r>
    </w:p>
    <w:p w14:paraId="1AD5313B" w14:textId="77777777" w:rsid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 xml:space="preserve">However, it is very important for Milwaukee County and staff to understand that the fact that a person with a disability </w:t>
      </w:r>
      <w:r w:rsidR="007D5F01" w:rsidRPr="002D7C43">
        <w:rPr>
          <w:rFonts w:asciiTheme="minorHAnsi" w:hAnsiTheme="minorHAnsi" w:cstheme="minorHAnsi"/>
        </w:rPr>
        <w:t>can</w:t>
      </w:r>
      <w:r w:rsidRPr="002D7C43">
        <w:rPr>
          <w:rFonts w:asciiTheme="minorHAnsi" w:hAnsiTheme="minorHAnsi" w:cstheme="minorHAnsi"/>
        </w:rPr>
        <w:t xml:space="preserve"> walk for a short distance does not necessarily contradict a verbal assurance</w:t>
      </w:r>
      <w:r w:rsidR="007D5F01" w:rsidRPr="002D7C43">
        <w:rPr>
          <w:rFonts w:asciiTheme="minorHAnsi" w:hAnsiTheme="minorHAnsi" w:cstheme="minorHAnsi"/>
        </w:rPr>
        <w:t>. M</w:t>
      </w:r>
      <w:r w:rsidRPr="002D7C43">
        <w:rPr>
          <w:rFonts w:asciiTheme="minorHAnsi" w:hAnsiTheme="minorHAnsi" w:cstheme="minorHAnsi"/>
        </w:rPr>
        <w:t xml:space="preserve">any people with mobility disabilities can </w:t>
      </w:r>
      <w:r w:rsidR="007D5F01" w:rsidRPr="002D7C43">
        <w:rPr>
          <w:rFonts w:asciiTheme="minorHAnsi" w:hAnsiTheme="minorHAnsi" w:cstheme="minorHAnsi"/>
        </w:rPr>
        <w:t>walk but</w:t>
      </w:r>
      <w:r w:rsidRPr="002D7C43">
        <w:rPr>
          <w:rFonts w:asciiTheme="minorHAnsi" w:hAnsiTheme="minorHAnsi" w:cstheme="minorHAnsi"/>
        </w:rPr>
        <w:t xml:space="preserve"> need their mobility device for longer distances or uneven terrain. This is particularly true for people who lack stamina, have poor balance, or use mobility devices because of respiratory, cardiac, or neurological</w:t>
      </w:r>
      <w:r w:rsidRPr="002D7C43">
        <w:rPr>
          <w:rFonts w:asciiTheme="minorHAnsi" w:hAnsiTheme="minorHAnsi" w:cstheme="minorHAnsi"/>
          <w:spacing w:val="-1"/>
        </w:rPr>
        <w:t xml:space="preserve"> </w:t>
      </w:r>
      <w:r w:rsidRPr="002D7C43">
        <w:rPr>
          <w:rFonts w:asciiTheme="minorHAnsi" w:hAnsiTheme="minorHAnsi" w:cstheme="minorHAnsi"/>
        </w:rPr>
        <w:t>disabilities.</w:t>
      </w:r>
    </w:p>
    <w:p w14:paraId="73CBCB2E" w14:textId="35A1CA28" w:rsidR="00FE1BD8" w:rsidRPr="002D7C43" w:rsidRDefault="00C53367" w:rsidP="002D7C43">
      <w:pPr>
        <w:pStyle w:val="ListParagraph"/>
        <w:numPr>
          <w:ilvl w:val="2"/>
          <w:numId w:val="1"/>
        </w:numPr>
        <w:tabs>
          <w:tab w:val="left" w:pos="820"/>
        </w:tabs>
        <w:rPr>
          <w:rFonts w:asciiTheme="minorHAnsi" w:hAnsiTheme="minorHAnsi" w:cstheme="minorHAnsi"/>
        </w:rPr>
      </w:pPr>
      <w:r w:rsidRPr="002D7C43">
        <w:rPr>
          <w:rFonts w:asciiTheme="minorHAnsi" w:hAnsiTheme="minorHAnsi" w:cstheme="minorHAnsi"/>
        </w:rPr>
        <w:t>Staff will not ask about the person’s</w:t>
      </w:r>
      <w:r w:rsidRPr="002D7C43">
        <w:rPr>
          <w:rFonts w:asciiTheme="minorHAnsi" w:hAnsiTheme="minorHAnsi" w:cstheme="minorHAnsi"/>
          <w:spacing w:val="-1"/>
        </w:rPr>
        <w:t xml:space="preserve"> </w:t>
      </w:r>
      <w:r w:rsidRPr="002D7C43">
        <w:rPr>
          <w:rFonts w:asciiTheme="minorHAnsi" w:hAnsiTheme="minorHAnsi" w:cstheme="minorHAnsi"/>
        </w:rPr>
        <w:t>disability.</w:t>
      </w:r>
    </w:p>
    <w:p w14:paraId="72A3D3EC" w14:textId="77777777" w:rsidR="00A04D4B" w:rsidRPr="0026638D" w:rsidRDefault="00A04D4B" w:rsidP="0026638D">
      <w:pPr>
        <w:pStyle w:val="ListParagraph"/>
        <w:tabs>
          <w:tab w:val="left" w:pos="1091"/>
        </w:tabs>
        <w:ind w:left="1090" w:firstLine="0"/>
        <w:rPr>
          <w:rFonts w:asciiTheme="minorHAnsi" w:hAnsiTheme="minorHAnsi" w:cstheme="minorHAnsi"/>
        </w:rPr>
      </w:pPr>
    </w:p>
    <w:p w14:paraId="44D319D3" w14:textId="77777777" w:rsidR="002D7C43" w:rsidRDefault="00C53367" w:rsidP="002D7C43">
      <w:pPr>
        <w:pStyle w:val="ListParagraph"/>
        <w:numPr>
          <w:ilvl w:val="1"/>
          <w:numId w:val="1"/>
        </w:numPr>
        <w:tabs>
          <w:tab w:val="left" w:pos="820"/>
          <w:tab w:val="left" w:pos="821"/>
        </w:tabs>
        <w:rPr>
          <w:rFonts w:asciiTheme="minorHAnsi" w:hAnsiTheme="minorHAnsi" w:cstheme="minorHAnsi"/>
        </w:rPr>
      </w:pPr>
      <w:r w:rsidRPr="0026638D">
        <w:rPr>
          <w:rFonts w:asciiTheme="minorHAnsi" w:hAnsiTheme="minorHAnsi" w:cstheme="minorHAnsi"/>
          <w:u w:val="single"/>
        </w:rPr>
        <w:t>Grievance</w:t>
      </w:r>
    </w:p>
    <w:p w14:paraId="4D792545" w14:textId="787651C0" w:rsidR="00D67C56" w:rsidRPr="002D7C43" w:rsidRDefault="00C53367" w:rsidP="002D7C43">
      <w:pPr>
        <w:pStyle w:val="ListParagraph"/>
        <w:numPr>
          <w:ilvl w:val="2"/>
          <w:numId w:val="1"/>
        </w:numPr>
        <w:tabs>
          <w:tab w:val="left" w:pos="820"/>
          <w:tab w:val="left" w:pos="821"/>
        </w:tabs>
        <w:rPr>
          <w:rFonts w:asciiTheme="minorHAnsi" w:hAnsiTheme="minorHAnsi" w:cstheme="minorHAnsi"/>
        </w:rPr>
      </w:pPr>
      <w:r w:rsidRPr="002D7C43">
        <w:rPr>
          <w:rFonts w:asciiTheme="minorHAnsi" w:hAnsiTheme="minorHAnsi" w:cstheme="minorHAnsi"/>
        </w:rPr>
        <w:t>A person with a disability who feels that he or she has been discriminated against with regards to their use of wheelchairs, mobility aids, or other power-driven mobility devices within Milwaukee County government building</w:t>
      </w:r>
      <w:r w:rsidR="00C50DEB" w:rsidRPr="002D7C43">
        <w:rPr>
          <w:rFonts w:asciiTheme="minorHAnsi" w:hAnsiTheme="minorHAnsi" w:cstheme="minorHAnsi"/>
        </w:rPr>
        <w:t>s</w:t>
      </w:r>
      <w:r w:rsidRPr="002D7C43">
        <w:rPr>
          <w:rFonts w:asciiTheme="minorHAnsi" w:hAnsiTheme="minorHAnsi" w:cstheme="minorHAnsi"/>
        </w:rPr>
        <w:t>, grounds, etc. may file a grievance with the Milwaukee County ADA Coordinator.</w:t>
      </w:r>
      <w:r w:rsidR="0026638D" w:rsidRPr="002D7C43">
        <w:rPr>
          <w:rFonts w:asciiTheme="minorHAnsi" w:hAnsiTheme="minorHAnsi" w:cstheme="minorHAnsi"/>
        </w:rPr>
        <w:t xml:space="preserve"> </w:t>
      </w:r>
      <w:r w:rsidR="00DF7004">
        <w:rPr>
          <w:rFonts w:asciiTheme="minorHAnsi" w:hAnsiTheme="minorHAnsi" w:cstheme="minorHAnsi"/>
        </w:rPr>
        <w:t xml:space="preserve">Refer to </w:t>
      </w:r>
      <w:hyperlink r:id="rId10" w:history="1">
        <w:r w:rsidR="00DF7004">
          <w:rPr>
            <w:rStyle w:val="Hyperlink"/>
            <w:rFonts w:asciiTheme="minorHAnsi" w:hAnsiTheme="minorHAnsi" w:cstheme="minorHAnsi"/>
          </w:rPr>
          <w:t>AMOP 09.04 ADA Grievance Procedure</w:t>
        </w:r>
      </w:hyperlink>
      <w:r w:rsidR="00DF7004">
        <w:rPr>
          <w:rFonts w:asciiTheme="minorHAnsi" w:hAnsiTheme="minorHAnsi" w:cstheme="minorHAnsi"/>
        </w:rPr>
        <w:t>.</w:t>
      </w:r>
      <w:bookmarkStart w:id="4" w:name="_GoBack"/>
      <w:bookmarkEnd w:id="4"/>
    </w:p>
    <w:p w14:paraId="0D0B940D" w14:textId="77777777" w:rsidR="00780403" w:rsidRPr="0026638D" w:rsidRDefault="00780403" w:rsidP="0026638D">
      <w:pPr>
        <w:pStyle w:val="BodyText"/>
        <w:rPr>
          <w:rFonts w:asciiTheme="minorHAnsi" w:hAnsiTheme="minorHAnsi" w:cstheme="minorHAnsi"/>
        </w:rPr>
      </w:pPr>
    </w:p>
    <w:p w14:paraId="69C52470" w14:textId="77777777" w:rsidR="00780403" w:rsidRPr="0026638D" w:rsidDel="00A34B2E" w:rsidRDefault="00780403" w:rsidP="0026638D">
      <w:pPr>
        <w:pStyle w:val="ListParagraph"/>
        <w:widowControl/>
        <w:numPr>
          <w:ilvl w:val="0"/>
          <w:numId w:val="1"/>
        </w:numPr>
        <w:autoSpaceDE/>
        <w:autoSpaceDN/>
        <w:contextualSpacing/>
        <w:rPr>
          <w:rFonts w:asciiTheme="minorHAnsi" w:hAnsiTheme="minorHAnsi" w:cstheme="minorHAnsi"/>
          <w:b/>
          <w:lang w:bidi="ar-SA"/>
        </w:rPr>
      </w:pPr>
      <w:r w:rsidRPr="0026638D">
        <w:rPr>
          <w:rFonts w:asciiTheme="minorHAnsi" w:hAnsiTheme="minorHAnsi" w:cstheme="minorHAnsi"/>
          <w:b/>
          <w:lang w:bidi="ar-SA"/>
        </w:rPr>
        <w:t>REVISION HISTORY:</w:t>
      </w:r>
    </w:p>
    <w:tbl>
      <w:tblPr>
        <w:tblStyle w:val="TableGrid"/>
        <w:tblW w:w="10350" w:type="dxa"/>
        <w:tblInd w:w="-455" w:type="dxa"/>
        <w:tblLook w:val="04A0" w:firstRow="1" w:lastRow="0" w:firstColumn="1" w:lastColumn="0" w:noHBand="0" w:noVBand="1"/>
      </w:tblPr>
      <w:tblGrid>
        <w:gridCol w:w="1260"/>
        <w:gridCol w:w="5580"/>
        <w:gridCol w:w="1620"/>
        <w:gridCol w:w="1890"/>
      </w:tblGrid>
      <w:tr w:rsidR="00780403" w:rsidRPr="0026638D" w14:paraId="4E76FE8A" w14:textId="77777777" w:rsidTr="00780403">
        <w:trPr>
          <w:trHeight w:val="472"/>
        </w:trPr>
        <w:tc>
          <w:tcPr>
            <w:tcW w:w="1260" w:type="dxa"/>
            <w:shd w:val="clear" w:color="auto" w:fill="E7E6E6"/>
          </w:tcPr>
          <w:p w14:paraId="1037A37A" w14:textId="77777777" w:rsidR="00780403" w:rsidRPr="0026638D" w:rsidRDefault="00780403" w:rsidP="0026638D">
            <w:pPr>
              <w:numPr>
                <w:ilvl w:val="1"/>
                <w:numId w:val="0"/>
              </w:numPr>
              <w:tabs>
                <w:tab w:val="left" w:pos="720"/>
              </w:tabs>
              <w:jc w:val="center"/>
              <w:rPr>
                <w:rFonts w:asciiTheme="minorHAnsi" w:hAnsiTheme="minorHAnsi" w:cstheme="minorHAnsi"/>
                <w:b/>
                <w:bCs/>
                <w:lang w:bidi="ar-SA"/>
              </w:rPr>
            </w:pPr>
            <w:r w:rsidRPr="0026638D">
              <w:rPr>
                <w:rFonts w:asciiTheme="minorHAnsi" w:hAnsiTheme="minorHAnsi" w:cstheme="minorHAnsi"/>
                <w:b/>
                <w:bCs/>
                <w:lang w:bidi="ar-SA"/>
              </w:rPr>
              <w:t>Rev. #</w:t>
            </w:r>
          </w:p>
        </w:tc>
        <w:tc>
          <w:tcPr>
            <w:tcW w:w="5580" w:type="dxa"/>
            <w:shd w:val="clear" w:color="auto" w:fill="E7E6E6"/>
          </w:tcPr>
          <w:p w14:paraId="07248CAA" w14:textId="77777777" w:rsidR="00780403" w:rsidRPr="0026638D" w:rsidRDefault="00780403" w:rsidP="0026638D">
            <w:pPr>
              <w:numPr>
                <w:ilvl w:val="1"/>
                <w:numId w:val="0"/>
              </w:numPr>
              <w:tabs>
                <w:tab w:val="left" w:pos="720"/>
              </w:tabs>
              <w:jc w:val="center"/>
              <w:rPr>
                <w:rFonts w:asciiTheme="minorHAnsi" w:hAnsiTheme="minorHAnsi" w:cstheme="minorHAnsi"/>
                <w:b/>
                <w:bCs/>
                <w:highlight w:val="yellow"/>
                <w:lang w:bidi="ar-SA"/>
              </w:rPr>
            </w:pPr>
            <w:r w:rsidRPr="0026638D">
              <w:rPr>
                <w:rFonts w:asciiTheme="minorHAnsi" w:hAnsiTheme="minorHAnsi" w:cstheme="minorHAnsi"/>
                <w:b/>
                <w:bCs/>
                <w:lang w:bidi="ar-SA"/>
              </w:rPr>
              <w:t>Summary of Changes</w:t>
            </w:r>
          </w:p>
        </w:tc>
        <w:tc>
          <w:tcPr>
            <w:tcW w:w="1620" w:type="dxa"/>
            <w:shd w:val="clear" w:color="auto" w:fill="E7E6E6"/>
          </w:tcPr>
          <w:p w14:paraId="12531F6B" w14:textId="77777777" w:rsidR="00780403" w:rsidRPr="0026638D" w:rsidRDefault="00780403" w:rsidP="0026638D">
            <w:pPr>
              <w:numPr>
                <w:ilvl w:val="1"/>
                <w:numId w:val="0"/>
              </w:numPr>
              <w:tabs>
                <w:tab w:val="left" w:pos="720"/>
              </w:tabs>
              <w:jc w:val="center"/>
              <w:rPr>
                <w:rFonts w:asciiTheme="minorHAnsi" w:hAnsiTheme="minorHAnsi" w:cstheme="minorHAnsi"/>
                <w:b/>
                <w:bCs/>
                <w:lang w:bidi="ar-SA"/>
              </w:rPr>
            </w:pPr>
            <w:r w:rsidRPr="0026638D">
              <w:rPr>
                <w:rFonts w:asciiTheme="minorHAnsi" w:hAnsiTheme="minorHAnsi" w:cstheme="minorHAnsi"/>
                <w:b/>
                <w:bCs/>
                <w:lang w:bidi="ar-SA"/>
              </w:rPr>
              <w:t>Date</w:t>
            </w:r>
            <w:r w:rsidR="004C7690" w:rsidRPr="0026638D">
              <w:rPr>
                <w:rFonts w:asciiTheme="minorHAnsi" w:hAnsiTheme="minorHAnsi" w:cstheme="minorHAnsi"/>
                <w:b/>
                <w:bCs/>
                <w:lang w:bidi="ar-SA"/>
              </w:rPr>
              <w:t xml:space="preserve"> of Change</w:t>
            </w:r>
          </w:p>
        </w:tc>
        <w:tc>
          <w:tcPr>
            <w:tcW w:w="1890" w:type="dxa"/>
            <w:shd w:val="clear" w:color="auto" w:fill="E7E6E6"/>
          </w:tcPr>
          <w:p w14:paraId="1C7DF0E4" w14:textId="77777777" w:rsidR="00780403" w:rsidRPr="0026638D" w:rsidRDefault="00780403" w:rsidP="0026638D">
            <w:pPr>
              <w:numPr>
                <w:ilvl w:val="1"/>
                <w:numId w:val="0"/>
              </w:numPr>
              <w:tabs>
                <w:tab w:val="left" w:pos="720"/>
              </w:tabs>
              <w:jc w:val="center"/>
              <w:rPr>
                <w:rFonts w:asciiTheme="minorHAnsi" w:hAnsiTheme="minorHAnsi" w:cstheme="minorHAnsi"/>
                <w:b/>
                <w:bCs/>
                <w:lang w:bidi="ar-SA"/>
              </w:rPr>
            </w:pPr>
            <w:r w:rsidRPr="0026638D">
              <w:rPr>
                <w:rFonts w:asciiTheme="minorHAnsi" w:hAnsiTheme="minorHAnsi" w:cstheme="minorHAnsi"/>
                <w:b/>
                <w:bCs/>
                <w:lang w:bidi="ar-SA"/>
              </w:rPr>
              <w:t>Author</w:t>
            </w:r>
          </w:p>
        </w:tc>
      </w:tr>
      <w:tr w:rsidR="00780403" w:rsidRPr="0026638D" w14:paraId="17640376" w14:textId="77777777" w:rsidTr="00BE1641">
        <w:trPr>
          <w:trHeight w:val="260"/>
        </w:trPr>
        <w:tc>
          <w:tcPr>
            <w:tcW w:w="1260" w:type="dxa"/>
          </w:tcPr>
          <w:p w14:paraId="18F999B5" w14:textId="77777777" w:rsidR="00780403" w:rsidRPr="0026638D" w:rsidRDefault="00780403" w:rsidP="0026638D">
            <w:pPr>
              <w:numPr>
                <w:ilvl w:val="1"/>
                <w:numId w:val="0"/>
              </w:numPr>
              <w:tabs>
                <w:tab w:val="left" w:pos="720"/>
              </w:tabs>
              <w:jc w:val="center"/>
              <w:rPr>
                <w:rFonts w:asciiTheme="minorHAnsi" w:hAnsiTheme="minorHAnsi" w:cstheme="minorHAnsi"/>
                <w:bCs/>
                <w:lang w:bidi="ar-SA"/>
              </w:rPr>
            </w:pPr>
            <w:r w:rsidRPr="0026638D">
              <w:rPr>
                <w:rFonts w:asciiTheme="minorHAnsi" w:hAnsiTheme="minorHAnsi" w:cstheme="minorHAnsi"/>
                <w:bCs/>
                <w:lang w:bidi="ar-SA"/>
              </w:rPr>
              <w:t>2</w:t>
            </w:r>
          </w:p>
        </w:tc>
        <w:tc>
          <w:tcPr>
            <w:tcW w:w="5580" w:type="dxa"/>
          </w:tcPr>
          <w:p w14:paraId="3E012731" w14:textId="2EBECEB6" w:rsidR="00780403" w:rsidRPr="0026638D" w:rsidRDefault="00587423" w:rsidP="00744BD7">
            <w:pPr>
              <w:pStyle w:val="ListParagraph"/>
              <w:tabs>
                <w:tab w:val="left" w:pos="720"/>
              </w:tabs>
              <w:ind w:left="0" w:firstLine="0"/>
              <w:rPr>
                <w:rFonts w:asciiTheme="minorHAnsi" w:hAnsiTheme="minorHAnsi" w:cstheme="minorHAnsi"/>
                <w:bCs/>
                <w:lang w:bidi="ar-SA"/>
              </w:rPr>
            </w:pPr>
            <w:r w:rsidRPr="0026638D">
              <w:rPr>
                <w:rFonts w:asciiTheme="minorHAnsi" w:hAnsiTheme="minorHAnsi" w:cstheme="minorHAnsi"/>
                <w:bCs/>
                <w:lang w:bidi="ar-SA"/>
              </w:rPr>
              <w:t xml:space="preserve">Annual review, </w:t>
            </w:r>
            <w:r w:rsidR="0026638D" w:rsidRPr="0026638D">
              <w:rPr>
                <w:rFonts w:asciiTheme="minorHAnsi" w:hAnsiTheme="minorHAnsi" w:cstheme="minorHAnsi"/>
                <w:bCs/>
                <w:lang w:bidi="ar-SA"/>
              </w:rPr>
              <w:t xml:space="preserve">minor changes/clarification only. Added definition: ADA. </w:t>
            </w:r>
            <w:r w:rsidRPr="0026638D">
              <w:rPr>
                <w:rFonts w:asciiTheme="minorHAnsi" w:hAnsiTheme="minorHAnsi" w:cstheme="minorHAnsi"/>
                <w:bCs/>
                <w:lang w:bidi="ar-SA"/>
              </w:rPr>
              <w:t xml:space="preserve"> </w:t>
            </w:r>
          </w:p>
        </w:tc>
        <w:tc>
          <w:tcPr>
            <w:tcW w:w="1620" w:type="dxa"/>
          </w:tcPr>
          <w:p w14:paraId="4301AE14" w14:textId="0F926F73" w:rsidR="00780403" w:rsidRPr="0026638D" w:rsidRDefault="0026638D" w:rsidP="0026638D">
            <w:pPr>
              <w:numPr>
                <w:ilvl w:val="1"/>
                <w:numId w:val="0"/>
              </w:numPr>
              <w:tabs>
                <w:tab w:val="left" w:pos="720"/>
              </w:tabs>
              <w:rPr>
                <w:rFonts w:asciiTheme="minorHAnsi" w:hAnsiTheme="minorHAnsi" w:cstheme="minorHAnsi"/>
                <w:bCs/>
                <w:lang w:bidi="ar-SA"/>
              </w:rPr>
            </w:pPr>
            <w:r w:rsidRPr="0026638D">
              <w:rPr>
                <w:rFonts w:asciiTheme="minorHAnsi" w:hAnsiTheme="minorHAnsi" w:cstheme="minorHAnsi"/>
                <w:bCs/>
                <w:lang w:bidi="ar-SA"/>
              </w:rPr>
              <w:t>12/18</w:t>
            </w:r>
            <w:r w:rsidR="00587423" w:rsidRPr="0026638D">
              <w:rPr>
                <w:rFonts w:asciiTheme="minorHAnsi" w:hAnsiTheme="minorHAnsi" w:cstheme="minorHAnsi"/>
                <w:bCs/>
                <w:lang w:bidi="ar-SA"/>
              </w:rPr>
              <w:t>/2019</w:t>
            </w:r>
          </w:p>
        </w:tc>
        <w:tc>
          <w:tcPr>
            <w:tcW w:w="1890" w:type="dxa"/>
          </w:tcPr>
          <w:p w14:paraId="7D7D6E5D" w14:textId="77777777" w:rsidR="00780403" w:rsidRPr="0026638D" w:rsidRDefault="00587423" w:rsidP="0026638D">
            <w:pPr>
              <w:numPr>
                <w:ilvl w:val="1"/>
                <w:numId w:val="0"/>
              </w:numPr>
              <w:tabs>
                <w:tab w:val="left" w:pos="720"/>
              </w:tabs>
              <w:rPr>
                <w:rFonts w:asciiTheme="minorHAnsi" w:hAnsiTheme="minorHAnsi" w:cstheme="minorHAnsi"/>
                <w:bCs/>
                <w:lang w:bidi="ar-SA"/>
              </w:rPr>
            </w:pPr>
            <w:r w:rsidRPr="0026638D">
              <w:rPr>
                <w:rFonts w:asciiTheme="minorHAnsi" w:hAnsiTheme="minorHAnsi" w:cstheme="minorHAnsi"/>
                <w:bCs/>
                <w:lang w:bidi="ar-SA"/>
              </w:rPr>
              <w:t>Tim Ochnikowski</w:t>
            </w:r>
          </w:p>
        </w:tc>
      </w:tr>
      <w:tr w:rsidR="00780403" w:rsidRPr="0026638D" w14:paraId="0E27B00A" w14:textId="77777777" w:rsidTr="00BE1641">
        <w:trPr>
          <w:trHeight w:val="260"/>
        </w:trPr>
        <w:tc>
          <w:tcPr>
            <w:tcW w:w="1260" w:type="dxa"/>
          </w:tcPr>
          <w:p w14:paraId="60061E4C" w14:textId="77777777" w:rsidR="00780403" w:rsidRPr="0026638D" w:rsidRDefault="00780403" w:rsidP="0026638D">
            <w:pPr>
              <w:numPr>
                <w:ilvl w:val="1"/>
                <w:numId w:val="0"/>
              </w:numPr>
              <w:tabs>
                <w:tab w:val="left" w:pos="720"/>
              </w:tabs>
              <w:jc w:val="center"/>
              <w:rPr>
                <w:rFonts w:asciiTheme="minorHAnsi" w:hAnsiTheme="minorHAnsi" w:cstheme="minorHAnsi"/>
                <w:bCs/>
                <w:lang w:bidi="ar-SA"/>
              </w:rPr>
            </w:pPr>
          </w:p>
        </w:tc>
        <w:tc>
          <w:tcPr>
            <w:tcW w:w="5580" w:type="dxa"/>
          </w:tcPr>
          <w:p w14:paraId="44EAFD9C" w14:textId="77777777" w:rsidR="00780403" w:rsidRPr="0026638D" w:rsidRDefault="00780403" w:rsidP="0026638D">
            <w:pPr>
              <w:numPr>
                <w:ilvl w:val="1"/>
                <w:numId w:val="0"/>
              </w:numPr>
              <w:tabs>
                <w:tab w:val="left" w:pos="720"/>
              </w:tabs>
              <w:rPr>
                <w:rFonts w:asciiTheme="minorHAnsi" w:hAnsiTheme="minorHAnsi" w:cstheme="minorHAnsi"/>
                <w:bCs/>
                <w:lang w:bidi="ar-SA"/>
              </w:rPr>
            </w:pPr>
          </w:p>
        </w:tc>
        <w:tc>
          <w:tcPr>
            <w:tcW w:w="1620" w:type="dxa"/>
          </w:tcPr>
          <w:p w14:paraId="4B94D5A5" w14:textId="77777777" w:rsidR="00780403" w:rsidRPr="0026638D" w:rsidRDefault="00780403" w:rsidP="0026638D">
            <w:pPr>
              <w:numPr>
                <w:ilvl w:val="1"/>
                <w:numId w:val="0"/>
              </w:numPr>
              <w:tabs>
                <w:tab w:val="left" w:pos="720"/>
              </w:tabs>
              <w:rPr>
                <w:rFonts w:asciiTheme="minorHAnsi" w:hAnsiTheme="minorHAnsi" w:cstheme="minorHAnsi"/>
                <w:bCs/>
                <w:lang w:bidi="ar-SA"/>
              </w:rPr>
            </w:pPr>
          </w:p>
        </w:tc>
        <w:tc>
          <w:tcPr>
            <w:tcW w:w="1890" w:type="dxa"/>
          </w:tcPr>
          <w:p w14:paraId="3DEEC669" w14:textId="77777777" w:rsidR="00780403" w:rsidRPr="0026638D" w:rsidRDefault="00780403" w:rsidP="0026638D">
            <w:pPr>
              <w:numPr>
                <w:ilvl w:val="1"/>
                <w:numId w:val="0"/>
              </w:numPr>
              <w:tabs>
                <w:tab w:val="left" w:pos="720"/>
              </w:tabs>
              <w:rPr>
                <w:rFonts w:asciiTheme="minorHAnsi" w:hAnsiTheme="minorHAnsi" w:cstheme="minorHAnsi"/>
                <w:bCs/>
                <w:lang w:bidi="ar-SA"/>
              </w:rPr>
            </w:pPr>
          </w:p>
        </w:tc>
      </w:tr>
      <w:tr w:rsidR="00780403" w:rsidRPr="0026638D" w14:paraId="3656B9AB" w14:textId="77777777" w:rsidTr="00BE1641">
        <w:trPr>
          <w:trHeight w:val="260"/>
        </w:trPr>
        <w:tc>
          <w:tcPr>
            <w:tcW w:w="1260" w:type="dxa"/>
          </w:tcPr>
          <w:p w14:paraId="45FB0818" w14:textId="77777777" w:rsidR="00780403" w:rsidRPr="0026638D" w:rsidRDefault="00780403" w:rsidP="0026638D">
            <w:pPr>
              <w:numPr>
                <w:ilvl w:val="1"/>
                <w:numId w:val="0"/>
              </w:numPr>
              <w:tabs>
                <w:tab w:val="left" w:pos="720"/>
              </w:tabs>
              <w:jc w:val="center"/>
              <w:rPr>
                <w:rFonts w:asciiTheme="minorHAnsi" w:hAnsiTheme="minorHAnsi" w:cstheme="minorHAnsi"/>
                <w:bCs/>
                <w:lang w:bidi="ar-SA"/>
              </w:rPr>
            </w:pPr>
          </w:p>
        </w:tc>
        <w:tc>
          <w:tcPr>
            <w:tcW w:w="5580" w:type="dxa"/>
          </w:tcPr>
          <w:p w14:paraId="049F31CB" w14:textId="77777777" w:rsidR="00780403" w:rsidRPr="0026638D" w:rsidRDefault="00780403" w:rsidP="0026638D">
            <w:pPr>
              <w:numPr>
                <w:ilvl w:val="1"/>
                <w:numId w:val="0"/>
              </w:numPr>
              <w:tabs>
                <w:tab w:val="left" w:pos="720"/>
              </w:tabs>
              <w:rPr>
                <w:rFonts w:asciiTheme="minorHAnsi" w:hAnsiTheme="minorHAnsi" w:cstheme="minorHAnsi"/>
                <w:bCs/>
                <w:lang w:bidi="ar-SA"/>
              </w:rPr>
            </w:pPr>
          </w:p>
        </w:tc>
        <w:tc>
          <w:tcPr>
            <w:tcW w:w="1620" w:type="dxa"/>
          </w:tcPr>
          <w:p w14:paraId="53128261" w14:textId="77777777" w:rsidR="00780403" w:rsidRPr="0026638D" w:rsidRDefault="00780403" w:rsidP="0026638D">
            <w:pPr>
              <w:numPr>
                <w:ilvl w:val="1"/>
                <w:numId w:val="0"/>
              </w:numPr>
              <w:tabs>
                <w:tab w:val="left" w:pos="720"/>
              </w:tabs>
              <w:rPr>
                <w:rFonts w:asciiTheme="minorHAnsi" w:hAnsiTheme="minorHAnsi" w:cstheme="minorHAnsi"/>
                <w:bCs/>
                <w:lang w:bidi="ar-SA"/>
              </w:rPr>
            </w:pPr>
          </w:p>
        </w:tc>
        <w:tc>
          <w:tcPr>
            <w:tcW w:w="1890" w:type="dxa"/>
          </w:tcPr>
          <w:p w14:paraId="62486C05" w14:textId="77777777" w:rsidR="00780403" w:rsidRPr="0026638D" w:rsidRDefault="00780403" w:rsidP="0026638D">
            <w:pPr>
              <w:numPr>
                <w:ilvl w:val="1"/>
                <w:numId w:val="0"/>
              </w:numPr>
              <w:tabs>
                <w:tab w:val="left" w:pos="720"/>
              </w:tabs>
              <w:rPr>
                <w:rFonts w:asciiTheme="minorHAnsi" w:hAnsiTheme="minorHAnsi" w:cstheme="minorHAnsi"/>
                <w:bCs/>
                <w:lang w:bidi="ar-SA"/>
              </w:rPr>
            </w:pPr>
          </w:p>
        </w:tc>
      </w:tr>
    </w:tbl>
    <w:p w14:paraId="4101652C" w14:textId="77777777" w:rsidR="00780403" w:rsidRPr="0026638D" w:rsidRDefault="00780403" w:rsidP="0026638D">
      <w:pPr>
        <w:pStyle w:val="BodyText"/>
        <w:rPr>
          <w:rFonts w:asciiTheme="minorHAnsi" w:hAnsiTheme="minorHAnsi" w:cstheme="minorHAnsi"/>
        </w:rPr>
      </w:pPr>
    </w:p>
    <w:sectPr w:rsidR="00780403" w:rsidRPr="0026638D" w:rsidSect="007D40BE">
      <w:headerReference w:type="default" r:id="rId11"/>
      <w:footerReference w:type="default" r:id="rId12"/>
      <w:headerReference w:type="first" r:id="rId13"/>
      <w:footerReference w:type="first" r:id="rId14"/>
      <w:pgSz w:w="12240" w:h="15840"/>
      <w:pgMar w:top="1400" w:right="1320" w:bottom="940" w:left="13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FCDB" w14:textId="77777777" w:rsidR="00780865" w:rsidRDefault="00780865">
      <w:r>
        <w:separator/>
      </w:r>
    </w:p>
  </w:endnote>
  <w:endnote w:type="continuationSeparator" w:id="0">
    <w:p w14:paraId="77BE53DB" w14:textId="77777777" w:rsidR="00780865" w:rsidRDefault="0078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203495"/>
      <w:docPartObj>
        <w:docPartGallery w:val="Page Numbers (Bottom of Page)"/>
        <w:docPartUnique/>
      </w:docPartObj>
    </w:sdtPr>
    <w:sdtEndPr/>
    <w:sdtContent>
      <w:sdt>
        <w:sdtPr>
          <w:id w:val="-1769616900"/>
          <w:docPartObj>
            <w:docPartGallery w:val="Page Numbers (Top of Page)"/>
            <w:docPartUnique/>
          </w:docPartObj>
        </w:sdtPr>
        <w:sdtEndPr/>
        <w:sdtContent>
          <w:p w14:paraId="7A89B249" w14:textId="77777777" w:rsidR="00780403" w:rsidRDefault="00780403">
            <w:pPr>
              <w:pStyle w:val="Footer"/>
              <w:jc w:val="right"/>
            </w:pPr>
            <w:r w:rsidRPr="00780403">
              <w:t xml:space="preserve">Page </w:t>
            </w:r>
            <w:r w:rsidRPr="00780403">
              <w:rPr>
                <w:bCs/>
                <w:sz w:val="24"/>
                <w:szCs w:val="24"/>
              </w:rPr>
              <w:fldChar w:fldCharType="begin"/>
            </w:r>
            <w:r w:rsidRPr="00780403">
              <w:rPr>
                <w:bCs/>
              </w:rPr>
              <w:instrText xml:space="preserve"> PAGE </w:instrText>
            </w:r>
            <w:r w:rsidRPr="00780403">
              <w:rPr>
                <w:bCs/>
                <w:sz w:val="24"/>
                <w:szCs w:val="24"/>
              </w:rPr>
              <w:fldChar w:fldCharType="separate"/>
            </w:r>
            <w:r w:rsidRPr="00780403">
              <w:rPr>
                <w:bCs/>
                <w:noProof/>
              </w:rPr>
              <w:t>2</w:t>
            </w:r>
            <w:r w:rsidRPr="00780403">
              <w:rPr>
                <w:bCs/>
                <w:sz w:val="24"/>
                <w:szCs w:val="24"/>
              </w:rPr>
              <w:fldChar w:fldCharType="end"/>
            </w:r>
            <w:r w:rsidRPr="00780403">
              <w:t xml:space="preserve"> of </w:t>
            </w:r>
            <w:r w:rsidRPr="00780403">
              <w:rPr>
                <w:bCs/>
                <w:sz w:val="24"/>
                <w:szCs w:val="24"/>
              </w:rPr>
              <w:fldChar w:fldCharType="begin"/>
            </w:r>
            <w:r w:rsidRPr="00780403">
              <w:rPr>
                <w:bCs/>
              </w:rPr>
              <w:instrText xml:space="preserve"> NUMPAGES  </w:instrText>
            </w:r>
            <w:r w:rsidRPr="00780403">
              <w:rPr>
                <w:bCs/>
                <w:sz w:val="24"/>
                <w:szCs w:val="24"/>
              </w:rPr>
              <w:fldChar w:fldCharType="separate"/>
            </w:r>
            <w:r w:rsidRPr="00780403">
              <w:rPr>
                <w:bCs/>
                <w:noProof/>
              </w:rPr>
              <w:t>2</w:t>
            </w:r>
            <w:r w:rsidRPr="00780403">
              <w:rPr>
                <w:bCs/>
                <w:sz w:val="24"/>
                <w:szCs w:val="24"/>
              </w:rPr>
              <w:fldChar w:fldCharType="end"/>
            </w:r>
          </w:p>
        </w:sdtContent>
      </w:sdt>
    </w:sdtContent>
  </w:sdt>
  <w:p w14:paraId="0562CB0E" w14:textId="77777777" w:rsidR="00FE1BD8" w:rsidRDefault="00FE1BD8">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49104"/>
      <w:docPartObj>
        <w:docPartGallery w:val="Page Numbers (Bottom of Page)"/>
        <w:docPartUnique/>
      </w:docPartObj>
    </w:sdtPr>
    <w:sdtEndPr/>
    <w:sdtContent>
      <w:sdt>
        <w:sdtPr>
          <w:id w:val="-1100492701"/>
          <w:docPartObj>
            <w:docPartGallery w:val="Page Numbers (Top of Page)"/>
            <w:docPartUnique/>
          </w:docPartObj>
        </w:sdtPr>
        <w:sdtEndPr/>
        <w:sdtContent>
          <w:p w14:paraId="6CB141C1" w14:textId="77777777" w:rsidR="00780403" w:rsidRPr="00780403" w:rsidRDefault="00780403">
            <w:pPr>
              <w:pStyle w:val="Footer"/>
              <w:jc w:val="right"/>
            </w:pPr>
            <w:r w:rsidRPr="00780403">
              <w:t xml:space="preserve">Page </w:t>
            </w:r>
            <w:r w:rsidRPr="00780403">
              <w:rPr>
                <w:bCs/>
                <w:sz w:val="24"/>
                <w:szCs w:val="24"/>
              </w:rPr>
              <w:fldChar w:fldCharType="begin"/>
            </w:r>
            <w:r w:rsidRPr="00780403">
              <w:rPr>
                <w:bCs/>
              </w:rPr>
              <w:instrText xml:space="preserve"> PAGE </w:instrText>
            </w:r>
            <w:r w:rsidRPr="00780403">
              <w:rPr>
                <w:bCs/>
                <w:sz w:val="24"/>
                <w:szCs w:val="24"/>
              </w:rPr>
              <w:fldChar w:fldCharType="separate"/>
            </w:r>
            <w:r w:rsidRPr="00780403">
              <w:rPr>
                <w:bCs/>
                <w:noProof/>
              </w:rPr>
              <w:t>2</w:t>
            </w:r>
            <w:r w:rsidRPr="00780403">
              <w:rPr>
                <w:bCs/>
                <w:sz w:val="24"/>
                <w:szCs w:val="24"/>
              </w:rPr>
              <w:fldChar w:fldCharType="end"/>
            </w:r>
            <w:r w:rsidRPr="00780403">
              <w:t xml:space="preserve"> of </w:t>
            </w:r>
            <w:r w:rsidRPr="00780403">
              <w:rPr>
                <w:bCs/>
                <w:sz w:val="24"/>
                <w:szCs w:val="24"/>
              </w:rPr>
              <w:fldChar w:fldCharType="begin"/>
            </w:r>
            <w:r w:rsidRPr="00780403">
              <w:rPr>
                <w:bCs/>
              </w:rPr>
              <w:instrText xml:space="preserve"> NUMPAGES  </w:instrText>
            </w:r>
            <w:r w:rsidRPr="00780403">
              <w:rPr>
                <w:bCs/>
                <w:sz w:val="24"/>
                <w:szCs w:val="24"/>
              </w:rPr>
              <w:fldChar w:fldCharType="separate"/>
            </w:r>
            <w:r w:rsidRPr="00780403">
              <w:rPr>
                <w:bCs/>
                <w:noProof/>
              </w:rPr>
              <w:t>2</w:t>
            </w:r>
            <w:r w:rsidRPr="00780403">
              <w:rPr>
                <w:bCs/>
                <w:sz w:val="24"/>
                <w:szCs w:val="24"/>
              </w:rPr>
              <w:fldChar w:fldCharType="end"/>
            </w:r>
          </w:p>
        </w:sdtContent>
      </w:sdt>
    </w:sdtContent>
  </w:sdt>
  <w:p w14:paraId="3461D779" w14:textId="77777777" w:rsidR="00780403" w:rsidRDefault="00780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6C46" w14:textId="77777777" w:rsidR="00780865" w:rsidRDefault="00780865">
      <w:r>
        <w:separator/>
      </w:r>
    </w:p>
  </w:footnote>
  <w:footnote w:type="continuationSeparator" w:id="0">
    <w:p w14:paraId="727655BE" w14:textId="77777777" w:rsidR="00780865" w:rsidRDefault="0078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Ind w:w="-365" w:type="dxa"/>
      <w:tblLook w:val="04A0" w:firstRow="1" w:lastRow="0" w:firstColumn="1" w:lastColumn="0" w:noHBand="0" w:noVBand="1"/>
    </w:tblPr>
    <w:tblGrid>
      <w:gridCol w:w="2070"/>
      <w:gridCol w:w="6840"/>
      <w:gridCol w:w="1350"/>
    </w:tblGrid>
    <w:tr w:rsidR="00780403" w:rsidRPr="00780403" w14:paraId="3E41E712" w14:textId="77777777" w:rsidTr="00780403">
      <w:trPr>
        <w:trHeight w:val="257"/>
      </w:trPr>
      <w:tc>
        <w:tcPr>
          <w:tcW w:w="2070" w:type="dxa"/>
          <w:shd w:val="clear" w:color="auto" w:fill="E7E6E6"/>
        </w:tcPr>
        <w:p w14:paraId="33960063" w14:textId="77777777" w:rsidR="00780403" w:rsidRDefault="00780403" w:rsidP="00780403">
          <w:pPr>
            <w:rPr>
              <w:rFonts w:cs="Times New Roman"/>
              <w:sz w:val="18"/>
              <w:lang w:bidi="ar-SA"/>
            </w:rPr>
          </w:pPr>
          <w:r w:rsidRPr="00780403">
            <w:rPr>
              <w:rFonts w:cs="Times New Roman"/>
              <w:sz w:val="18"/>
              <w:lang w:bidi="ar-SA"/>
            </w:rPr>
            <w:t>Procedure #:</w:t>
          </w:r>
        </w:p>
        <w:p w14:paraId="2D732F31" w14:textId="77777777" w:rsidR="00780403" w:rsidRPr="00780403" w:rsidRDefault="00780403" w:rsidP="00780403">
          <w:pPr>
            <w:rPr>
              <w:rFonts w:cs="Times New Roman"/>
              <w:b/>
              <w:sz w:val="18"/>
              <w:lang w:bidi="ar-SA"/>
            </w:rPr>
          </w:pPr>
          <w:r w:rsidRPr="00780403">
            <w:rPr>
              <w:rFonts w:cs="Times New Roman"/>
              <w:b/>
              <w:sz w:val="18"/>
              <w:lang w:bidi="ar-SA"/>
            </w:rPr>
            <w:t>09.03</w:t>
          </w:r>
        </w:p>
      </w:tc>
      <w:tc>
        <w:tcPr>
          <w:tcW w:w="6840" w:type="dxa"/>
          <w:shd w:val="clear" w:color="auto" w:fill="E7E6E6"/>
        </w:tcPr>
        <w:p w14:paraId="5374577F" w14:textId="77777777" w:rsidR="00780403" w:rsidRDefault="00780403" w:rsidP="00780403">
          <w:pPr>
            <w:rPr>
              <w:rFonts w:cs="Times New Roman"/>
              <w:sz w:val="18"/>
              <w:lang w:bidi="ar-SA"/>
            </w:rPr>
          </w:pPr>
          <w:r w:rsidRPr="00780403">
            <w:rPr>
              <w:rFonts w:cs="Times New Roman"/>
              <w:sz w:val="18"/>
              <w:lang w:bidi="ar-SA"/>
            </w:rPr>
            <w:t xml:space="preserve">Procedure Title: </w:t>
          </w:r>
        </w:p>
        <w:p w14:paraId="4B6A9EC8" w14:textId="77777777" w:rsidR="00780403" w:rsidRPr="00780403" w:rsidRDefault="00780403" w:rsidP="00780403">
          <w:pPr>
            <w:rPr>
              <w:rFonts w:cs="Times New Roman"/>
              <w:b/>
              <w:sz w:val="18"/>
              <w:lang w:bidi="ar-SA"/>
            </w:rPr>
          </w:pPr>
          <w:r>
            <w:rPr>
              <w:rFonts w:cs="Times New Roman"/>
              <w:b/>
              <w:sz w:val="20"/>
              <w:lang w:bidi="ar-SA"/>
            </w:rPr>
            <w:t>Wheelchairs, Mobility Aids, and Other Power-Driven Mobility Devices</w:t>
          </w:r>
        </w:p>
      </w:tc>
      <w:tc>
        <w:tcPr>
          <w:tcW w:w="1350" w:type="dxa"/>
          <w:shd w:val="clear" w:color="auto" w:fill="E7E6E6"/>
        </w:tcPr>
        <w:p w14:paraId="5AE4DF89" w14:textId="77777777" w:rsidR="00780403" w:rsidRDefault="00780403" w:rsidP="00780403">
          <w:pPr>
            <w:rPr>
              <w:rFonts w:cs="Times New Roman"/>
              <w:sz w:val="18"/>
              <w:lang w:bidi="ar-SA"/>
            </w:rPr>
          </w:pPr>
          <w:r w:rsidRPr="00780403">
            <w:rPr>
              <w:rFonts w:cs="Times New Roman"/>
              <w:sz w:val="18"/>
              <w:lang w:bidi="ar-SA"/>
            </w:rPr>
            <w:t xml:space="preserve">Revision #: </w:t>
          </w:r>
        </w:p>
        <w:p w14:paraId="7144751B" w14:textId="77777777" w:rsidR="00780403" w:rsidRPr="00780403" w:rsidRDefault="00780403" w:rsidP="00780403">
          <w:pPr>
            <w:rPr>
              <w:rFonts w:cs="Times New Roman"/>
              <w:b/>
              <w:sz w:val="18"/>
              <w:lang w:bidi="ar-SA"/>
            </w:rPr>
          </w:pPr>
          <w:r>
            <w:rPr>
              <w:rFonts w:cs="Times New Roman"/>
              <w:b/>
              <w:sz w:val="20"/>
              <w:lang w:bidi="ar-SA"/>
            </w:rPr>
            <w:t>2</w:t>
          </w:r>
        </w:p>
      </w:tc>
    </w:tr>
  </w:tbl>
  <w:p w14:paraId="4B99056E" w14:textId="77777777" w:rsidR="00780403" w:rsidRDefault="00780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455" w:type="dxa"/>
      <w:tblLook w:val="04A0" w:firstRow="1" w:lastRow="0" w:firstColumn="1" w:lastColumn="0" w:noHBand="0" w:noVBand="1"/>
    </w:tblPr>
    <w:tblGrid>
      <w:gridCol w:w="1710"/>
      <w:gridCol w:w="1710"/>
      <w:gridCol w:w="1710"/>
      <w:gridCol w:w="4140"/>
      <w:gridCol w:w="1080"/>
    </w:tblGrid>
    <w:tr w:rsidR="00780403" w:rsidRPr="00780403" w14:paraId="409BE4C8" w14:textId="77777777" w:rsidTr="00780403">
      <w:trPr>
        <w:trHeight w:val="576"/>
      </w:trPr>
      <w:tc>
        <w:tcPr>
          <w:tcW w:w="10350" w:type="dxa"/>
          <w:gridSpan w:val="5"/>
          <w:shd w:val="clear" w:color="auto" w:fill="E7E6E6"/>
          <w:vAlign w:val="center"/>
        </w:tcPr>
        <w:p w14:paraId="4DE7CFF7" w14:textId="77777777" w:rsidR="00780403" w:rsidRPr="00780403" w:rsidRDefault="00780403" w:rsidP="00780403">
          <w:pPr>
            <w:jc w:val="center"/>
            <w:rPr>
              <w:rFonts w:cs="Times New Roman"/>
              <w:b/>
              <w:sz w:val="36"/>
              <w:szCs w:val="36"/>
              <w:lang w:bidi="ar-SA"/>
            </w:rPr>
          </w:pPr>
          <w:r w:rsidRPr="00780403">
            <w:rPr>
              <w:rFonts w:cs="Times New Roman"/>
              <w:noProof/>
              <w:lang w:bidi="ar-SA"/>
            </w:rPr>
            <w:drawing>
              <wp:anchor distT="0" distB="0" distL="114300" distR="114300" simplePos="0" relativeHeight="503316291" behindDoc="1" locked="0" layoutInCell="1" allowOverlap="1" wp14:anchorId="06601F94" wp14:editId="30A82511">
                <wp:simplePos x="0" y="0"/>
                <wp:positionH relativeFrom="column">
                  <wp:posOffset>-619125</wp:posOffset>
                </wp:positionH>
                <wp:positionV relativeFrom="paragraph">
                  <wp:posOffset>-55245</wp:posOffset>
                </wp:positionV>
                <wp:extent cx="685800" cy="685800"/>
                <wp:effectExtent l="0" t="0" r="0" b="0"/>
                <wp:wrapTight wrapText="bothSides">
                  <wp:wrapPolygon edited="0">
                    <wp:start x="6000" y="0"/>
                    <wp:lineTo x="0" y="4200"/>
                    <wp:lineTo x="0" y="15600"/>
                    <wp:lineTo x="3000" y="19200"/>
                    <wp:lineTo x="5400" y="21000"/>
                    <wp:lineTo x="6000" y="21000"/>
                    <wp:lineTo x="15000" y="21000"/>
                    <wp:lineTo x="15600" y="21000"/>
                    <wp:lineTo x="18600" y="19200"/>
                    <wp:lineTo x="21000" y="15600"/>
                    <wp:lineTo x="21000" y="4200"/>
                    <wp:lineTo x="15000" y="0"/>
                    <wp:lineTo x="6000" y="0"/>
                  </wp:wrapPolygon>
                </wp:wrapTight>
                <wp:docPr id="4" name="Picture 4" descr="http://i.imgur.com/cnl7B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cnl7BB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58CA3" w14:textId="77777777" w:rsidR="00780403" w:rsidRPr="00780403" w:rsidRDefault="00780403" w:rsidP="00780403">
          <w:pPr>
            <w:jc w:val="center"/>
            <w:rPr>
              <w:rFonts w:cs="Times New Roman"/>
              <w:b/>
              <w:sz w:val="36"/>
              <w:szCs w:val="36"/>
              <w:lang w:bidi="ar-SA"/>
            </w:rPr>
          </w:pPr>
          <w:r w:rsidRPr="00780403">
            <w:rPr>
              <w:rFonts w:cs="Times New Roman"/>
              <w:b/>
              <w:sz w:val="36"/>
              <w:szCs w:val="36"/>
              <w:lang w:bidi="ar-SA"/>
            </w:rPr>
            <w:t>Administrative Manual of Operating Procedures</w:t>
          </w:r>
        </w:p>
      </w:tc>
    </w:tr>
    <w:tr w:rsidR="00780403" w:rsidRPr="00780403" w14:paraId="68E87B97" w14:textId="77777777" w:rsidTr="00BE1641">
      <w:trPr>
        <w:trHeight w:val="289"/>
      </w:trPr>
      <w:tc>
        <w:tcPr>
          <w:tcW w:w="1710" w:type="dxa"/>
        </w:tcPr>
        <w:p w14:paraId="7842FA23" w14:textId="77777777" w:rsidR="00780403" w:rsidRPr="00780403" w:rsidRDefault="00780403" w:rsidP="00780403">
          <w:pPr>
            <w:rPr>
              <w:rFonts w:cs="Times New Roman"/>
              <w:sz w:val="18"/>
              <w:lang w:bidi="ar-SA"/>
            </w:rPr>
          </w:pPr>
          <w:r w:rsidRPr="00780403">
            <w:rPr>
              <w:rFonts w:cs="Times New Roman"/>
              <w:sz w:val="18"/>
              <w:lang w:bidi="ar-SA"/>
            </w:rPr>
            <w:t xml:space="preserve">Procedure #: </w:t>
          </w:r>
        </w:p>
        <w:p w14:paraId="312C5EA7" w14:textId="77777777" w:rsidR="00780403" w:rsidRPr="00780403" w:rsidRDefault="00780403" w:rsidP="00780403">
          <w:pPr>
            <w:rPr>
              <w:rFonts w:cs="Times New Roman"/>
              <w:b/>
              <w:lang w:bidi="ar-SA"/>
            </w:rPr>
          </w:pPr>
          <w:r>
            <w:rPr>
              <w:rFonts w:cs="Times New Roman"/>
              <w:b/>
              <w:lang w:bidi="ar-SA"/>
            </w:rPr>
            <w:t>09.03</w:t>
          </w:r>
        </w:p>
      </w:tc>
      <w:tc>
        <w:tcPr>
          <w:tcW w:w="7560" w:type="dxa"/>
          <w:gridSpan w:val="3"/>
        </w:tcPr>
        <w:p w14:paraId="267AD5BE" w14:textId="77777777" w:rsidR="00780403" w:rsidRPr="00780403" w:rsidRDefault="00780403" w:rsidP="00780403">
          <w:pPr>
            <w:rPr>
              <w:rFonts w:cs="Times New Roman"/>
              <w:sz w:val="18"/>
              <w:lang w:bidi="ar-SA"/>
            </w:rPr>
          </w:pPr>
          <w:r w:rsidRPr="00780403">
            <w:rPr>
              <w:rFonts w:cs="Times New Roman"/>
              <w:sz w:val="18"/>
              <w:lang w:bidi="ar-SA"/>
            </w:rPr>
            <w:t xml:space="preserve">Procedure Title: </w:t>
          </w:r>
        </w:p>
        <w:p w14:paraId="24E369EB" w14:textId="77777777" w:rsidR="00780403" w:rsidRPr="00780403" w:rsidRDefault="00780403" w:rsidP="00780403">
          <w:pPr>
            <w:rPr>
              <w:rFonts w:cs="Times New Roman"/>
              <w:b/>
              <w:lang w:bidi="ar-SA"/>
            </w:rPr>
          </w:pPr>
          <w:r>
            <w:rPr>
              <w:rFonts w:cs="Times New Roman"/>
              <w:b/>
              <w:lang w:bidi="ar-SA"/>
            </w:rPr>
            <w:t>Wheelchairs, Mobility Aids, and Other Power-Driven Mobility Devices</w:t>
          </w:r>
        </w:p>
      </w:tc>
      <w:tc>
        <w:tcPr>
          <w:tcW w:w="1080" w:type="dxa"/>
        </w:tcPr>
        <w:p w14:paraId="1ED12393" w14:textId="77777777" w:rsidR="00780403" w:rsidRPr="00780403" w:rsidRDefault="00780403" w:rsidP="00780403">
          <w:pPr>
            <w:rPr>
              <w:rFonts w:cs="Times New Roman"/>
              <w:sz w:val="18"/>
              <w:lang w:bidi="ar-SA"/>
            </w:rPr>
          </w:pPr>
          <w:r w:rsidRPr="00780403">
            <w:rPr>
              <w:rFonts w:cs="Times New Roman"/>
              <w:sz w:val="18"/>
              <w:lang w:bidi="ar-SA"/>
            </w:rPr>
            <w:t xml:space="preserve">Revision #: </w:t>
          </w:r>
        </w:p>
        <w:p w14:paraId="78E884CA" w14:textId="77777777" w:rsidR="00780403" w:rsidRPr="00780403" w:rsidRDefault="00780403" w:rsidP="00780403">
          <w:pPr>
            <w:rPr>
              <w:rFonts w:cs="Times New Roman"/>
              <w:b/>
              <w:lang w:bidi="ar-SA"/>
            </w:rPr>
          </w:pPr>
          <w:r>
            <w:rPr>
              <w:rFonts w:cs="Times New Roman"/>
              <w:b/>
              <w:lang w:bidi="ar-SA"/>
            </w:rPr>
            <w:t>2</w:t>
          </w:r>
        </w:p>
      </w:tc>
    </w:tr>
    <w:tr w:rsidR="00780403" w:rsidRPr="00780403" w14:paraId="157E424F" w14:textId="77777777" w:rsidTr="00780403">
      <w:trPr>
        <w:trHeight w:val="306"/>
      </w:trPr>
      <w:tc>
        <w:tcPr>
          <w:tcW w:w="1710" w:type="dxa"/>
        </w:tcPr>
        <w:p w14:paraId="507CA733" w14:textId="77777777" w:rsidR="00780403" w:rsidRPr="00780403" w:rsidRDefault="00780403" w:rsidP="00780403">
          <w:pPr>
            <w:rPr>
              <w:rFonts w:cs="Times New Roman"/>
              <w:sz w:val="18"/>
              <w:lang w:bidi="ar-SA"/>
            </w:rPr>
          </w:pPr>
          <w:r w:rsidRPr="00780403">
            <w:rPr>
              <w:rFonts w:cs="Times New Roman"/>
              <w:sz w:val="18"/>
              <w:lang w:bidi="ar-SA"/>
            </w:rPr>
            <w:t xml:space="preserve">Original Issue Date: </w:t>
          </w:r>
        </w:p>
        <w:p w14:paraId="29124FDA" w14:textId="77777777" w:rsidR="00780403" w:rsidRPr="00780403" w:rsidRDefault="00780403" w:rsidP="00780403">
          <w:pPr>
            <w:rPr>
              <w:rFonts w:cs="Times New Roman"/>
              <w:b/>
              <w:lang w:bidi="ar-SA"/>
            </w:rPr>
          </w:pPr>
          <w:r>
            <w:rPr>
              <w:rFonts w:cs="Times New Roman"/>
              <w:b/>
              <w:lang w:bidi="ar-SA"/>
            </w:rPr>
            <w:t>05/01/2016</w:t>
          </w:r>
        </w:p>
      </w:tc>
      <w:tc>
        <w:tcPr>
          <w:tcW w:w="1710" w:type="dxa"/>
        </w:tcPr>
        <w:p w14:paraId="0D032CFE" w14:textId="77777777" w:rsidR="00780403" w:rsidRPr="00780403" w:rsidRDefault="00780403" w:rsidP="00780403">
          <w:pPr>
            <w:rPr>
              <w:rFonts w:cs="Times New Roman"/>
              <w:sz w:val="18"/>
              <w:lang w:bidi="ar-SA"/>
            </w:rPr>
          </w:pPr>
          <w:r w:rsidRPr="00780403">
            <w:rPr>
              <w:rFonts w:cs="Times New Roman"/>
              <w:sz w:val="18"/>
              <w:lang w:bidi="ar-SA"/>
            </w:rPr>
            <w:t xml:space="preserve">Revised Issue Date: </w:t>
          </w:r>
        </w:p>
        <w:p w14:paraId="7702C664" w14:textId="77777777" w:rsidR="00780403" w:rsidRPr="00780403" w:rsidRDefault="004D3122" w:rsidP="00780403">
          <w:pPr>
            <w:rPr>
              <w:rFonts w:cs="Times New Roman"/>
              <w:b/>
              <w:lang w:bidi="ar-SA"/>
            </w:rPr>
          </w:pPr>
          <w:r>
            <w:rPr>
              <w:rFonts w:cs="Times New Roman"/>
              <w:b/>
              <w:lang w:bidi="ar-SA"/>
            </w:rPr>
            <w:t>DRAFT</w:t>
          </w:r>
        </w:p>
      </w:tc>
      <w:tc>
        <w:tcPr>
          <w:tcW w:w="1710" w:type="dxa"/>
        </w:tcPr>
        <w:p w14:paraId="246DAA77" w14:textId="77777777" w:rsidR="00780403" w:rsidRPr="00780403" w:rsidRDefault="00780403" w:rsidP="00780403">
          <w:pPr>
            <w:rPr>
              <w:rFonts w:cs="Times New Roman"/>
              <w:sz w:val="18"/>
              <w:lang w:bidi="ar-SA"/>
            </w:rPr>
          </w:pPr>
          <w:r w:rsidRPr="00780403">
            <w:rPr>
              <w:rFonts w:cs="Times New Roman"/>
              <w:sz w:val="18"/>
              <w:lang w:bidi="ar-SA"/>
            </w:rPr>
            <w:t xml:space="preserve">Next Review Date: </w:t>
          </w:r>
        </w:p>
        <w:p w14:paraId="65E82E29" w14:textId="77777777" w:rsidR="00780403" w:rsidRPr="00780403" w:rsidRDefault="004D3122" w:rsidP="00780403">
          <w:pPr>
            <w:rPr>
              <w:rFonts w:cs="Times New Roman"/>
              <w:b/>
              <w:lang w:bidi="ar-SA"/>
            </w:rPr>
          </w:pPr>
          <w:r>
            <w:rPr>
              <w:rFonts w:cs="Times New Roman"/>
              <w:b/>
              <w:lang w:bidi="ar-SA"/>
            </w:rPr>
            <w:t>TBD</w:t>
          </w:r>
          <w:r w:rsidR="00780403" w:rsidRPr="00780403">
            <w:rPr>
              <w:rFonts w:cs="Times New Roman"/>
              <w:b/>
              <w:lang w:bidi="ar-SA"/>
            </w:rPr>
            <w:t xml:space="preserve"> </w:t>
          </w:r>
        </w:p>
      </w:tc>
      <w:tc>
        <w:tcPr>
          <w:tcW w:w="5220" w:type="dxa"/>
          <w:gridSpan w:val="2"/>
        </w:tcPr>
        <w:p w14:paraId="071F48A8" w14:textId="77777777" w:rsidR="00780403" w:rsidRPr="00780403" w:rsidRDefault="00780403" w:rsidP="00780403">
          <w:pPr>
            <w:rPr>
              <w:rFonts w:cs="Times New Roman"/>
              <w:sz w:val="18"/>
              <w:lang w:bidi="ar-SA"/>
            </w:rPr>
          </w:pPr>
          <w:r w:rsidRPr="00780403">
            <w:rPr>
              <w:rFonts w:cs="Times New Roman"/>
              <w:sz w:val="18"/>
              <w:lang w:bidi="ar-SA"/>
            </w:rPr>
            <w:t xml:space="preserve">Responsible Department: </w:t>
          </w:r>
        </w:p>
        <w:p w14:paraId="6264F613" w14:textId="77777777" w:rsidR="00780403" w:rsidRPr="00780403" w:rsidRDefault="00780403" w:rsidP="00780403">
          <w:pPr>
            <w:rPr>
              <w:rFonts w:cs="Times New Roman"/>
              <w:b/>
              <w:lang w:bidi="ar-SA"/>
            </w:rPr>
          </w:pPr>
          <w:r>
            <w:rPr>
              <w:rFonts w:cs="Times New Roman"/>
              <w:b/>
              <w:lang w:bidi="ar-SA"/>
            </w:rPr>
            <w:t>DAS-</w:t>
          </w:r>
          <w:r w:rsidR="00C50DEB">
            <w:rPr>
              <w:rFonts w:cs="Times New Roman"/>
              <w:b/>
              <w:lang w:bidi="ar-SA"/>
            </w:rPr>
            <w:t>Office for Persons with Disabilities</w:t>
          </w:r>
        </w:p>
      </w:tc>
    </w:tr>
    <w:tr w:rsidR="00780403" w:rsidRPr="00780403" w14:paraId="3026FE4C" w14:textId="77777777" w:rsidTr="00780403">
      <w:trPr>
        <w:trHeight w:val="289"/>
      </w:trPr>
      <w:tc>
        <w:tcPr>
          <w:tcW w:w="5130" w:type="dxa"/>
          <w:gridSpan w:val="3"/>
        </w:tcPr>
        <w:p w14:paraId="2A0CAF6C" w14:textId="77777777" w:rsidR="00780403" w:rsidRPr="00780403" w:rsidRDefault="00780403" w:rsidP="00780403">
          <w:pPr>
            <w:rPr>
              <w:rFonts w:cs="Times New Roman"/>
              <w:sz w:val="18"/>
              <w:lang w:bidi="ar-SA"/>
            </w:rPr>
          </w:pPr>
          <w:r w:rsidRPr="00780403">
            <w:rPr>
              <w:rFonts w:cs="Times New Roman"/>
              <w:sz w:val="18"/>
              <w:lang w:bidi="ar-SA"/>
            </w:rPr>
            <w:t xml:space="preserve">Statutory References: </w:t>
          </w:r>
        </w:p>
        <w:p w14:paraId="6A97F3E2" w14:textId="77777777" w:rsidR="00780403" w:rsidRPr="00780403" w:rsidRDefault="00780403" w:rsidP="00780403">
          <w:pPr>
            <w:rPr>
              <w:rFonts w:cs="Times New Roman"/>
              <w:b/>
            </w:rPr>
          </w:pPr>
          <w:r w:rsidRPr="00780403">
            <w:rPr>
              <w:rFonts w:cs="Times New Roman"/>
              <w:b/>
            </w:rPr>
            <w:t>ADA 1990 (P.L. 101.336), ADA Amendments Act (P.L. 110-325); 28 C.F.R.</w:t>
          </w:r>
          <w:r>
            <w:rPr>
              <w:rFonts w:cs="Times New Roman"/>
              <w:b/>
            </w:rPr>
            <w:t xml:space="preserve"> </w:t>
          </w:r>
          <w:r w:rsidRPr="00780403">
            <w:rPr>
              <w:rFonts w:cs="Times New Roman"/>
              <w:b/>
            </w:rPr>
            <w:t>Part 35</w:t>
          </w:r>
        </w:p>
      </w:tc>
      <w:tc>
        <w:tcPr>
          <w:tcW w:w="5220" w:type="dxa"/>
          <w:gridSpan w:val="2"/>
        </w:tcPr>
        <w:p w14:paraId="36869098" w14:textId="77777777" w:rsidR="00780403" w:rsidRPr="00780403" w:rsidRDefault="00780403" w:rsidP="00780403">
          <w:pPr>
            <w:rPr>
              <w:rFonts w:cs="Times New Roman"/>
              <w:sz w:val="18"/>
              <w:lang w:bidi="ar-SA"/>
            </w:rPr>
          </w:pPr>
          <w:r w:rsidRPr="00780403">
            <w:rPr>
              <w:rFonts w:cs="Times New Roman"/>
              <w:sz w:val="18"/>
              <w:lang w:bidi="ar-SA"/>
            </w:rPr>
            <w:t xml:space="preserve">Ordinance References: </w:t>
          </w:r>
        </w:p>
        <w:p w14:paraId="48C9DA01" w14:textId="77777777" w:rsidR="00780403" w:rsidRPr="00780403" w:rsidRDefault="00780403" w:rsidP="00780403">
          <w:pPr>
            <w:rPr>
              <w:rFonts w:cs="Times New Roman"/>
              <w:b/>
              <w:lang w:bidi="ar-SA"/>
            </w:rPr>
          </w:pPr>
          <w:r>
            <w:rPr>
              <w:rFonts w:cs="Times New Roman"/>
              <w:b/>
              <w:lang w:bidi="ar-SA"/>
            </w:rPr>
            <w:t>None</w:t>
          </w:r>
        </w:p>
      </w:tc>
    </w:tr>
    <w:tr w:rsidR="00780403" w:rsidRPr="00780403" w14:paraId="6DBA0AE3" w14:textId="77777777" w:rsidTr="00780403">
      <w:trPr>
        <w:trHeight w:val="70"/>
      </w:trPr>
      <w:tc>
        <w:tcPr>
          <w:tcW w:w="5130" w:type="dxa"/>
          <w:gridSpan w:val="3"/>
        </w:tcPr>
        <w:p w14:paraId="42582209" w14:textId="77777777" w:rsidR="005D24EF" w:rsidRDefault="00780403" w:rsidP="005D24EF">
          <w:pPr>
            <w:rPr>
              <w:rFonts w:cs="Times New Roman"/>
              <w:sz w:val="18"/>
              <w:lang w:bidi="ar-SA"/>
            </w:rPr>
          </w:pPr>
          <w:r w:rsidRPr="00780403">
            <w:rPr>
              <w:rFonts w:cs="Times New Roman"/>
              <w:sz w:val="18"/>
              <w:lang w:bidi="ar-SA"/>
            </w:rPr>
            <w:t>Appendices:</w:t>
          </w:r>
        </w:p>
        <w:p w14:paraId="3161812F" w14:textId="77777777" w:rsidR="005D24EF" w:rsidRDefault="005D24EF" w:rsidP="005D24EF">
          <w:pPr>
            <w:rPr>
              <w:rFonts w:cs="Times New Roman"/>
              <w:b/>
              <w:lang w:bidi="ar-SA"/>
            </w:rPr>
          </w:pPr>
          <w:r>
            <w:rPr>
              <w:rFonts w:cs="Times New Roman"/>
              <w:b/>
              <w:lang w:bidi="ar-SA"/>
            </w:rPr>
            <w:t>Appendix B - 09.03 LMS Training PowerPoint</w:t>
          </w:r>
        </w:p>
        <w:p w14:paraId="285268B3" w14:textId="77777777" w:rsidR="00780403" w:rsidRPr="005D24EF" w:rsidRDefault="005D24EF" w:rsidP="005D24EF">
          <w:pPr>
            <w:rPr>
              <w:rFonts w:cs="Times New Roman"/>
              <w:sz w:val="18"/>
              <w:lang w:bidi="ar-SA"/>
            </w:rPr>
          </w:pPr>
          <w:r>
            <w:rPr>
              <w:rFonts w:cs="Times New Roman"/>
              <w:b/>
              <w:lang w:bidi="ar-SA"/>
            </w:rPr>
            <w:t xml:space="preserve">Appendix C - </w:t>
          </w:r>
          <w:r w:rsidR="004D3122">
            <w:rPr>
              <w:rFonts w:cs="Times New Roman"/>
              <w:b/>
              <w:lang w:bidi="ar-SA"/>
            </w:rPr>
            <w:t>09.03</w:t>
          </w:r>
          <w:r w:rsidR="00780403" w:rsidRPr="00780403">
            <w:rPr>
              <w:rFonts w:cs="Times New Roman"/>
              <w:b/>
              <w:lang w:bidi="ar-SA"/>
            </w:rPr>
            <w:t xml:space="preserve"> Flowchart</w:t>
          </w:r>
        </w:p>
      </w:tc>
      <w:tc>
        <w:tcPr>
          <w:tcW w:w="5220" w:type="dxa"/>
          <w:gridSpan w:val="2"/>
        </w:tcPr>
        <w:p w14:paraId="09679E08" w14:textId="77777777" w:rsidR="005D24EF" w:rsidRDefault="00780403" w:rsidP="005D24EF">
          <w:pPr>
            <w:rPr>
              <w:rFonts w:cs="Times New Roman"/>
              <w:sz w:val="18"/>
              <w:lang w:bidi="ar-SA"/>
            </w:rPr>
          </w:pPr>
          <w:r w:rsidRPr="00780403">
            <w:rPr>
              <w:rFonts w:cs="Times New Roman"/>
              <w:sz w:val="18"/>
              <w:lang w:bidi="ar-SA"/>
            </w:rPr>
            <w:t>Forms:</w:t>
          </w:r>
        </w:p>
        <w:p w14:paraId="3161A9A1" w14:textId="77777777" w:rsidR="00780403" w:rsidRPr="005D24EF" w:rsidRDefault="00780403" w:rsidP="005D24EF">
          <w:pPr>
            <w:rPr>
              <w:rFonts w:cs="Times New Roman"/>
              <w:sz w:val="18"/>
              <w:lang w:bidi="ar-SA"/>
            </w:rPr>
          </w:pPr>
          <w:r>
            <w:rPr>
              <w:rFonts w:cs="Times New Roman"/>
              <w:b/>
              <w:lang w:bidi="ar-SA"/>
            </w:rPr>
            <w:t>None</w:t>
          </w:r>
        </w:p>
      </w:tc>
    </w:tr>
  </w:tbl>
  <w:p w14:paraId="1FC39945" w14:textId="77777777" w:rsidR="00780403" w:rsidRDefault="00780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340"/>
    <w:multiLevelType w:val="hybridMultilevel"/>
    <w:tmpl w:val="ADDE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F67E0"/>
    <w:multiLevelType w:val="hybridMultilevel"/>
    <w:tmpl w:val="3D22C1E4"/>
    <w:lvl w:ilvl="0" w:tplc="F45E6F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E7EC1"/>
    <w:multiLevelType w:val="hybridMultilevel"/>
    <w:tmpl w:val="23C46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D7BFC"/>
    <w:multiLevelType w:val="hybridMultilevel"/>
    <w:tmpl w:val="4100E8DE"/>
    <w:lvl w:ilvl="0" w:tplc="462A2B7A">
      <w:start w:val="1"/>
      <w:numFmt w:val="decimal"/>
      <w:lvlText w:val="%1."/>
      <w:lvlJc w:val="left"/>
      <w:pPr>
        <w:ind w:left="460" w:hanging="360"/>
        <w:jc w:val="left"/>
      </w:pPr>
      <w:rPr>
        <w:rFonts w:ascii="Calibri" w:eastAsia="Calibri" w:hAnsi="Calibri" w:cs="Calibri" w:hint="default"/>
        <w:b/>
        <w:bCs/>
        <w:spacing w:val="-1"/>
        <w:w w:val="100"/>
        <w:sz w:val="22"/>
        <w:szCs w:val="24"/>
        <w:lang w:val="en-US" w:eastAsia="en-US" w:bidi="en-US"/>
      </w:rPr>
    </w:lvl>
    <w:lvl w:ilvl="1" w:tplc="33606A2A">
      <w:start w:val="1"/>
      <w:numFmt w:val="upperLetter"/>
      <w:lvlText w:val="%2."/>
      <w:lvlJc w:val="left"/>
      <w:pPr>
        <w:ind w:left="820" w:hanging="360"/>
        <w:jc w:val="left"/>
      </w:pPr>
      <w:rPr>
        <w:rFonts w:ascii="Calibri" w:eastAsia="Calibri" w:hAnsi="Calibri" w:cs="Calibri" w:hint="default"/>
        <w:spacing w:val="-1"/>
        <w:w w:val="100"/>
        <w:sz w:val="22"/>
        <w:szCs w:val="22"/>
        <w:lang w:val="en-US" w:eastAsia="en-US" w:bidi="en-US"/>
      </w:rPr>
    </w:lvl>
    <w:lvl w:ilvl="2" w:tplc="248A36C0">
      <w:start w:val="1"/>
      <w:numFmt w:val="lowerRoman"/>
      <w:lvlText w:val="%3."/>
      <w:lvlJc w:val="left"/>
      <w:pPr>
        <w:ind w:left="1090" w:hanging="288"/>
        <w:jc w:val="left"/>
      </w:pPr>
      <w:rPr>
        <w:rFonts w:ascii="Calibri" w:eastAsia="Calibri" w:hAnsi="Calibri" w:cs="Calibri" w:hint="default"/>
        <w:spacing w:val="-1"/>
        <w:w w:val="100"/>
        <w:sz w:val="22"/>
        <w:szCs w:val="22"/>
        <w:lang w:val="en-US" w:eastAsia="en-US" w:bidi="en-US"/>
      </w:rPr>
    </w:lvl>
    <w:lvl w:ilvl="3" w:tplc="04090019">
      <w:start w:val="1"/>
      <w:numFmt w:val="lowerLetter"/>
      <w:lvlText w:val="%4."/>
      <w:lvlJc w:val="left"/>
      <w:pPr>
        <w:ind w:left="2160" w:hanging="288"/>
      </w:pPr>
      <w:rPr>
        <w:rFonts w:hint="default"/>
        <w:lang w:val="en-US" w:eastAsia="en-US" w:bidi="en-US"/>
      </w:rPr>
    </w:lvl>
    <w:lvl w:ilvl="4" w:tplc="0D804006">
      <w:numFmt w:val="bullet"/>
      <w:lvlText w:val="•"/>
      <w:lvlJc w:val="left"/>
      <w:pPr>
        <w:ind w:left="3220" w:hanging="288"/>
      </w:pPr>
      <w:rPr>
        <w:rFonts w:hint="default"/>
        <w:lang w:val="en-US" w:eastAsia="en-US" w:bidi="en-US"/>
      </w:rPr>
    </w:lvl>
    <w:lvl w:ilvl="5" w:tplc="BB3688D0">
      <w:numFmt w:val="bullet"/>
      <w:lvlText w:val="•"/>
      <w:lvlJc w:val="left"/>
      <w:pPr>
        <w:ind w:left="4280" w:hanging="288"/>
      </w:pPr>
      <w:rPr>
        <w:rFonts w:hint="default"/>
        <w:lang w:val="en-US" w:eastAsia="en-US" w:bidi="en-US"/>
      </w:rPr>
    </w:lvl>
    <w:lvl w:ilvl="6" w:tplc="264201D2">
      <w:numFmt w:val="bullet"/>
      <w:lvlText w:val="•"/>
      <w:lvlJc w:val="left"/>
      <w:pPr>
        <w:ind w:left="5340" w:hanging="288"/>
      </w:pPr>
      <w:rPr>
        <w:rFonts w:hint="default"/>
        <w:lang w:val="en-US" w:eastAsia="en-US" w:bidi="en-US"/>
      </w:rPr>
    </w:lvl>
    <w:lvl w:ilvl="7" w:tplc="17D6EA0C">
      <w:numFmt w:val="bullet"/>
      <w:lvlText w:val="•"/>
      <w:lvlJc w:val="left"/>
      <w:pPr>
        <w:ind w:left="6400" w:hanging="288"/>
      </w:pPr>
      <w:rPr>
        <w:rFonts w:hint="default"/>
        <w:lang w:val="en-US" w:eastAsia="en-US" w:bidi="en-US"/>
      </w:rPr>
    </w:lvl>
    <w:lvl w:ilvl="8" w:tplc="94563964">
      <w:numFmt w:val="bullet"/>
      <w:lvlText w:val="•"/>
      <w:lvlJc w:val="left"/>
      <w:pPr>
        <w:ind w:left="7460" w:hanging="288"/>
      </w:pPr>
      <w:rPr>
        <w:rFonts w:hint="default"/>
        <w:lang w:val="en-US" w:eastAsia="en-US" w:bidi="en-US"/>
      </w:rPr>
    </w:lvl>
  </w:abstractNum>
  <w:abstractNum w:abstractNumId="4" w15:restartNumberingAfterBreak="0">
    <w:nsid w:val="57D6030C"/>
    <w:multiLevelType w:val="hybridMultilevel"/>
    <w:tmpl w:val="2F9CF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01B0A"/>
    <w:multiLevelType w:val="hybridMultilevel"/>
    <w:tmpl w:val="B6EC33C8"/>
    <w:lvl w:ilvl="0" w:tplc="0409001B">
      <w:start w:val="1"/>
      <w:numFmt w:val="lowerRoman"/>
      <w:lvlText w:val="%1."/>
      <w:lvlJc w:val="righ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736F279A"/>
    <w:multiLevelType w:val="hybridMultilevel"/>
    <w:tmpl w:val="7056FB64"/>
    <w:lvl w:ilvl="0" w:tplc="21BE01DC">
      <w:start w:val="1"/>
      <w:numFmt w:val="decimal"/>
      <w:lvlText w:val="%1."/>
      <w:lvlJc w:val="left"/>
      <w:pPr>
        <w:ind w:left="460" w:hanging="360"/>
      </w:pPr>
      <w:rPr>
        <w:rFonts w:ascii="Calibri" w:eastAsia="Calibri" w:hAnsi="Calibri" w:cs="Calibri" w:hint="default"/>
        <w:b/>
        <w:bCs/>
        <w:spacing w:val="-1"/>
        <w:w w:val="100"/>
        <w:sz w:val="24"/>
        <w:szCs w:val="24"/>
        <w:lang w:val="en-US" w:eastAsia="en-US" w:bidi="en-US"/>
      </w:rPr>
    </w:lvl>
    <w:lvl w:ilvl="1" w:tplc="922418A4">
      <w:start w:val="1"/>
      <w:numFmt w:val="upperLetter"/>
      <w:lvlText w:val="%2."/>
      <w:lvlJc w:val="left"/>
      <w:pPr>
        <w:ind w:left="820" w:hanging="360"/>
      </w:pPr>
      <w:rPr>
        <w:rFonts w:ascii="Calibri" w:eastAsia="Calibri" w:hAnsi="Calibri" w:cs="Calibri" w:hint="default"/>
        <w:spacing w:val="-1"/>
        <w:w w:val="100"/>
        <w:sz w:val="22"/>
        <w:szCs w:val="22"/>
        <w:lang w:val="en-US" w:eastAsia="en-US" w:bidi="en-US"/>
      </w:rPr>
    </w:lvl>
    <w:lvl w:ilvl="2" w:tplc="C5783786">
      <w:start w:val="1"/>
      <w:numFmt w:val="lowerRoman"/>
      <w:lvlText w:val="%3."/>
      <w:lvlJc w:val="left"/>
      <w:pPr>
        <w:ind w:left="1091" w:hanging="288"/>
      </w:pPr>
      <w:rPr>
        <w:rFonts w:ascii="Calibri" w:eastAsia="Calibri" w:hAnsi="Calibri" w:cs="Calibri" w:hint="default"/>
        <w:spacing w:val="-1"/>
        <w:w w:val="100"/>
        <w:sz w:val="22"/>
        <w:szCs w:val="22"/>
        <w:lang w:val="en-US" w:eastAsia="en-US" w:bidi="en-US"/>
      </w:rPr>
    </w:lvl>
    <w:lvl w:ilvl="3" w:tplc="04090019">
      <w:start w:val="1"/>
      <w:numFmt w:val="lowerLetter"/>
      <w:lvlText w:val="%4."/>
      <w:lvlJc w:val="left"/>
      <w:pPr>
        <w:ind w:left="2155" w:hanging="288"/>
      </w:pPr>
      <w:rPr>
        <w:lang w:val="en-US" w:eastAsia="en-US" w:bidi="en-US"/>
      </w:rPr>
    </w:lvl>
    <w:lvl w:ilvl="4" w:tplc="6AC8DB3E">
      <w:numFmt w:val="bullet"/>
      <w:lvlText w:val="•"/>
      <w:lvlJc w:val="left"/>
      <w:pPr>
        <w:ind w:left="3210" w:hanging="288"/>
      </w:pPr>
      <w:rPr>
        <w:lang w:val="en-US" w:eastAsia="en-US" w:bidi="en-US"/>
      </w:rPr>
    </w:lvl>
    <w:lvl w:ilvl="5" w:tplc="717C20F2">
      <w:numFmt w:val="bullet"/>
      <w:lvlText w:val="•"/>
      <w:lvlJc w:val="left"/>
      <w:pPr>
        <w:ind w:left="4265" w:hanging="288"/>
      </w:pPr>
      <w:rPr>
        <w:lang w:val="en-US" w:eastAsia="en-US" w:bidi="en-US"/>
      </w:rPr>
    </w:lvl>
    <w:lvl w:ilvl="6" w:tplc="2FC4BF40">
      <w:numFmt w:val="bullet"/>
      <w:lvlText w:val="•"/>
      <w:lvlJc w:val="left"/>
      <w:pPr>
        <w:ind w:left="5320" w:hanging="288"/>
      </w:pPr>
      <w:rPr>
        <w:lang w:val="en-US" w:eastAsia="en-US" w:bidi="en-US"/>
      </w:rPr>
    </w:lvl>
    <w:lvl w:ilvl="7" w:tplc="A74EFFCC">
      <w:numFmt w:val="bullet"/>
      <w:lvlText w:val="•"/>
      <w:lvlJc w:val="left"/>
      <w:pPr>
        <w:ind w:left="6375" w:hanging="288"/>
      </w:pPr>
      <w:rPr>
        <w:lang w:val="en-US" w:eastAsia="en-US" w:bidi="en-US"/>
      </w:rPr>
    </w:lvl>
    <w:lvl w:ilvl="8" w:tplc="DE527B50">
      <w:numFmt w:val="bullet"/>
      <w:lvlText w:val="•"/>
      <w:lvlJc w:val="left"/>
      <w:pPr>
        <w:ind w:left="7430" w:hanging="288"/>
      </w:pPr>
      <w:rPr>
        <w:lang w:val="en-US" w:eastAsia="en-US" w:bidi="en-US"/>
      </w:rPr>
    </w:lvl>
  </w:abstractNum>
  <w:abstractNum w:abstractNumId="7" w15:restartNumberingAfterBreak="0">
    <w:nsid w:val="74F077DB"/>
    <w:multiLevelType w:val="hybridMultilevel"/>
    <w:tmpl w:val="99C496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NzC0MDQ2NrIwMzBW0lEKTi0uzszPAykwNK4FADfqMoQtAAAA"/>
  </w:docVars>
  <w:rsids>
    <w:rsidRoot w:val="00FE1BD8"/>
    <w:rsid w:val="0007114E"/>
    <w:rsid w:val="001C5BB2"/>
    <w:rsid w:val="0026638D"/>
    <w:rsid w:val="002D7C43"/>
    <w:rsid w:val="00344804"/>
    <w:rsid w:val="00451695"/>
    <w:rsid w:val="004C7690"/>
    <w:rsid w:val="004D3122"/>
    <w:rsid w:val="00587423"/>
    <w:rsid w:val="005B464C"/>
    <w:rsid w:val="005D24EF"/>
    <w:rsid w:val="00744BD7"/>
    <w:rsid w:val="00780403"/>
    <w:rsid w:val="00780865"/>
    <w:rsid w:val="00796FBF"/>
    <w:rsid w:val="007D40BE"/>
    <w:rsid w:val="007D5F01"/>
    <w:rsid w:val="0087301E"/>
    <w:rsid w:val="009336FB"/>
    <w:rsid w:val="00A04D4B"/>
    <w:rsid w:val="00AA15DD"/>
    <w:rsid w:val="00AE3AB2"/>
    <w:rsid w:val="00B91E81"/>
    <w:rsid w:val="00C50DEB"/>
    <w:rsid w:val="00C53367"/>
    <w:rsid w:val="00C657EA"/>
    <w:rsid w:val="00D00AC7"/>
    <w:rsid w:val="00D67C56"/>
    <w:rsid w:val="00D71552"/>
    <w:rsid w:val="00DF7004"/>
    <w:rsid w:val="00E17FA4"/>
    <w:rsid w:val="00E90271"/>
    <w:rsid w:val="00F17BED"/>
    <w:rsid w:val="00F2521B"/>
    <w:rsid w:val="00FE1BD8"/>
    <w:rsid w:val="13733943"/>
    <w:rsid w:val="1C608D02"/>
    <w:rsid w:val="1FFEAB38"/>
    <w:rsid w:val="458F3FDB"/>
    <w:rsid w:val="481F3E51"/>
    <w:rsid w:val="4E809EFD"/>
    <w:rsid w:val="7249C722"/>
    <w:rsid w:val="793D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ADEBF"/>
  <w15:docId w15:val="{160D2F9B-B8BC-478C-8CD0-B100E06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sz w:val="48"/>
      <w:szCs w:val="48"/>
    </w:rPr>
  </w:style>
  <w:style w:type="paragraph" w:styleId="Heading2">
    <w:name w:val="heading 2"/>
    <w:basedOn w:val="Normal"/>
    <w:uiPriority w:val="1"/>
    <w:qFormat/>
    <w:pPr>
      <w:ind w:left="4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1"/>
    </w:pPr>
  </w:style>
  <w:style w:type="paragraph" w:styleId="ListParagraph">
    <w:name w:val="List Paragraph"/>
    <w:basedOn w:val="Normal"/>
    <w:uiPriority w:val="1"/>
    <w:qFormat/>
    <w:pPr>
      <w:ind w:left="10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0403"/>
    <w:pPr>
      <w:tabs>
        <w:tab w:val="center" w:pos="4680"/>
        <w:tab w:val="right" w:pos="9360"/>
      </w:tabs>
    </w:pPr>
  </w:style>
  <w:style w:type="character" w:customStyle="1" w:styleId="HeaderChar">
    <w:name w:val="Header Char"/>
    <w:basedOn w:val="DefaultParagraphFont"/>
    <w:link w:val="Header"/>
    <w:uiPriority w:val="99"/>
    <w:rsid w:val="00780403"/>
    <w:rPr>
      <w:rFonts w:ascii="Calibri" w:eastAsia="Calibri" w:hAnsi="Calibri" w:cs="Calibri"/>
      <w:lang w:bidi="en-US"/>
    </w:rPr>
  </w:style>
  <w:style w:type="paragraph" w:styleId="Footer">
    <w:name w:val="footer"/>
    <w:basedOn w:val="Normal"/>
    <w:link w:val="FooterChar"/>
    <w:uiPriority w:val="99"/>
    <w:unhideWhenUsed/>
    <w:rsid w:val="00780403"/>
    <w:pPr>
      <w:tabs>
        <w:tab w:val="center" w:pos="4680"/>
        <w:tab w:val="right" w:pos="9360"/>
      </w:tabs>
    </w:pPr>
  </w:style>
  <w:style w:type="character" w:customStyle="1" w:styleId="FooterChar">
    <w:name w:val="Footer Char"/>
    <w:basedOn w:val="DefaultParagraphFont"/>
    <w:link w:val="Footer"/>
    <w:uiPriority w:val="99"/>
    <w:rsid w:val="00780403"/>
    <w:rPr>
      <w:rFonts w:ascii="Calibri" w:eastAsia="Calibri" w:hAnsi="Calibri" w:cs="Calibri"/>
      <w:lang w:bidi="en-US"/>
    </w:rPr>
  </w:style>
  <w:style w:type="table" w:styleId="TableGrid">
    <w:name w:val="Table Grid"/>
    <w:basedOn w:val="TableNormal"/>
    <w:uiPriority w:val="39"/>
    <w:rsid w:val="0078040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C56"/>
    <w:rPr>
      <w:color w:val="0000FF" w:themeColor="hyperlink"/>
      <w:u w:val="single"/>
    </w:rPr>
  </w:style>
  <w:style w:type="character" w:styleId="UnresolvedMention">
    <w:name w:val="Unresolved Mention"/>
    <w:basedOn w:val="DefaultParagraphFont"/>
    <w:uiPriority w:val="99"/>
    <w:semiHidden/>
    <w:unhideWhenUsed/>
    <w:rsid w:val="00D67C56"/>
    <w:rPr>
      <w:color w:val="605E5C"/>
      <w:shd w:val="clear" w:color="auto" w:fill="E1DFDD"/>
    </w:rPr>
  </w:style>
  <w:style w:type="character" w:styleId="FollowedHyperlink">
    <w:name w:val="FollowedHyperlink"/>
    <w:basedOn w:val="DefaultParagraphFont"/>
    <w:uiPriority w:val="99"/>
    <w:semiHidden/>
    <w:unhideWhenUsed/>
    <w:rsid w:val="00D67C56"/>
    <w:rPr>
      <w:color w:val="800080" w:themeColor="followedHyperlink"/>
      <w:u w:val="single"/>
    </w:rPr>
  </w:style>
  <w:style w:type="paragraph" w:styleId="BalloonText">
    <w:name w:val="Balloon Text"/>
    <w:basedOn w:val="Normal"/>
    <w:link w:val="BalloonTextChar"/>
    <w:uiPriority w:val="99"/>
    <w:semiHidden/>
    <w:unhideWhenUsed/>
    <w:rsid w:val="00F2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21B"/>
    <w:rPr>
      <w:rFonts w:ascii="Segoe UI" w:eastAsia="Calibri" w:hAnsi="Segoe UI" w:cs="Segoe UI"/>
      <w:sz w:val="18"/>
      <w:szCs w:val="18"/>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51695"/>
    <w:rPr>
      <w:b/>
      <w:bCs/>
    </w:rPr>
  </w:style>
  <w:style w:type="character" w:customStyle="1" w:styleId="CommentSubjectChar">
    <w:name w:val="Comment Subject Char"/>
    <w:basedOn w:val="CommentTextChar"/>
    <w:link w:val="CommentSubject"/>
    <w:uiPriority w:val="99"/>
    <w:semiHidden/>
    <w:rsid w:val="00451695"/>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4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unty.milwaukee.gov/ImageLibrary/Groups/cntyDAS/AdminManual/FinalProce/OPD/9.04-ADAGrievance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at xmlns="3f5dad4a-a094-42da-81c1-518372e65760">Procedure</Format>
    <SharedWithUsers xmlns="8b29e8de-ae70-46cf-8021-b61553d83343">
      <UserInfo>
        <DisplayName/>
        <AccountId xsi:nil="true"/>
        <AccountType/>
      </UserInfo>
    </SharedWithUsers>
    <SharingHintHash xmlns="8b29e8de-ae70-46cf-8021-b61553d833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958230E034C4A92D7DB111CE02C08" ma:contentTypeVersion="10" ma:contentTypeDescription="Create a new document." ma:contentTypeScope="" ma:versionID="d6e4597c35d158335f6989959ee51db8">
  <xsd:schema xmlns:xsd="http://www.w3.org/2001/XMLSchema" xmlns:xs="http://www.w3.org/2001/XMLSchema" xmlns:p="http://schemas.microsoft.com/office/2006/metadata/properties" xmlns:ns2="8b29e8de-ae70-46cf-8021-b61553d83343" xmlns:ns3="376b1d18-0d30-46eb-bd90-b8421af7b6f3" xmlns:ns4="3f5dad4a-a094-42da-81c1-518372e65760" targetNamespace="http://schemas.microsoft.com/office/2006/metadata/properties" ma:root="true" ma:fieldsID="16311010ed18575c708def8db6c839c3" ns2:_="" ns3:_="" ns4:_="">
    <xsd:import namespace="8b29e8de-ae70-46cf-8021-b61553d83343"/>
    <xsd:import namespace="376b1d18-0d30-46eb-bd90-b8421af7b6f3"/>
    <xsd:import namespace="3f5dad4a-a094-42da-81c1-518372e65760"/>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1d18-0d30-46eb-bd90-b8421af7b6f3"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dad4a-a094-42da-81c1-518372e657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rmat" ma:index="13" nillable="true" ma:displayName="Format" ma:default="Procedure" ma:format="Dropdown" ma:internalName="Format">
      <xsd:simpleType>
        <xsd:restriction base="dms:Choice">
          <xsd:enumeration value="Flowchart"/>
          <xsd:enumeration value="LMS PPT"/>
          <xsd:enumeration value="Request Form"/>
          <xsd:enumeration value="Procedure"/>
          <xsd:enumeration value="Forms"/>
          <xsd:enumeration value="Appendi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18E1E-D569-4DF7-A49F-9FDC9347299F}">
  <ds:schemaRefs>
    <ds:schemaRef ds:uri="http://schemas.microsoft.com/office/2006/metadata/properties"/>
    <ds:schemaRef ds:uri="http://schemas.microsoft.com/office/infopath/2007/PartnerControls"/>
    <ds:schemaRef ds:uri="3f5dad4a-a094-42da-81c1-518372e65760"/>
    <ds:schemaRef ds:uri="8b29e8de-ae70-46cf-8021-b61553d83343"/>
  </ds:schemaRefs>
</ds:datastoreItem>
</file>

<file path=customXml/itemProps2.xml><?xml version="1.0" encoding="utf-8"?>
<ds:datastoreItem xmlns:ds="http://schemas.openxmlformats.org/officeDocument/2006/customXml" ds:itemID="{9755EA1E-754F-4035-8DB1-D1C4A86D9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376b1d18-0d30-46eb-bd90-b8421af7b6f3"/>
    <ds:schemaRef ds:uri="3f5dad4a-a094-42da-81c1-518372e65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200CE-D0BC-45DE-9FF7-8DF1D3BF3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Whaley-Smith, Teig</dc:creator>
  <cp:lastModifiedBy>Stojsavljevic, Una</cp:lastModifiedBy>
  <cp:revision>23</cp:revision>
  <dcterms:created xsi:type="dcterms:W3CDTF">2019-09-12T20:15:00Z</dcterms:created>
  <dcterms:modified xsi:type="dcterms:W3CDTF">2020-01-16T19:50:00Z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Acrobat PDFMaker 11 for Word</vt:lpwstr>
  </property>
  <property fmtid="{D5CDD505-2E9C-101B-9397-08002B2CF9AE}" pid="4" name="LastSaved">
    <vt:filetime>2019-06-28T00:00:00Z</vt:filetime>
  </property>
  <property fmtid="{D5CDD505-2E9C-101B-9397-08002B2CF9AE}" pid="5" name="ContentTypeId">
    <vt:lpwstr>0x010100F14958230E034C4A92D7DB111CE02C08</vt:lpwstr>
  </property>
</Properties>
</file>