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F" w:rsidRDefault="008A3DD2" w:rsidP="00C1261F">
      <w:pPr>
        <w:pStyle w:val="ListParagraph"/>
        <w:ind w:left="0"/>
      </w:pPr>
      <w:bookmarkStart w:id="0" w:name="_GoBack"/>
      <w:bookmarkEnd w:id="0"/>
      <w:r>
        <w:tab/>
      </w:r>
      <w:r>
        <w:tab/>
      </w:r>
      <w:r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BC745B">
        <w:tab/>
      </w:r>
      <w:r w:rsidR="003D10FA">
        <w:t xml:space="preserve">File No. </w:t>
      </w:r>
      <w:r w:rsidR="00EF630E">
        <w:t>20</w:t>
      </w:r>
      <w:r w:rsidR="00E5619C">
        <w:t>-</w:t>
      </w:r>
      <w:r>
        <w:t>XXX</w:t>
      </w:r>
    </w:p>
    <w:p w:rsidR="008A3DD2" w:rsidRDefault="008A3DD2" w:rsidP="00C1261F">
      <w:pPr>
        <w:pStyle w:val="ListParagraph"/>
        <w:ind w:left="0"/>
      </w:pPr>
    </w:p>
    <w:p w:rsidR="00590F1A" w:rsidRPr="00DB61CE" w:rsidRDefault="00EF630E" w:rsidP="00CE7242">
      <w:pPr>
        <w:pStyle w:val="ListParagraph"/>
        <w:spacing w:after="0"/>
        <w:ind w:left="0"/>
      </w:pPr>
      <w:r w:rsidRPr="009F6AF4">
        <w:t>From the Director of Compensation/Human Resources Information Systems, Department of Human Resources</w:t>
      </w:r>
      <w:r w:rsidRPr="00D52C78">
        <w:t>,</w:t>
      </w:r>
      <w:r w:rsidR="00590F1A">
        <w:t xml:space="preserve"> requesting approval to reallocate the Pay Grade</w:t>
      </w:r>
      <w:r w:rsidR="00A27846">
        <w:t>s</w:t>
      </w:r>
      <w:r w:rsidR="00590F1A">
        <w:t xml:space="preserve"> of </w:t>
      </w:r>
      <w:r w:rsidR="003B0966">
        <w:t xml:space="preserve">Parks’ </w:t>
      </w:r>
      <w:r w:rsidR="00A27846">
        <w:t>Aquatic Staff (</w:t>
      </w:r>
      <w:r w:rsidR="00335E8B" w:rsidRPr="00901C42">
        <w:t>lifeguard seasonal, head lifeguard seasonal, assistant head lifeguard seasonal, lifeguard supervisor seasonal, head lifeguard</w:t>
      </w:r>
      <w:r w:rsidR="00335E8B">
        <w:t>)</w:t>
      </w:r>
      <w:r w:rsidR="00590F1A">
        <w:t xml:space="preserve"> to provide </w:t>
      </w:r>
      <w:r w:rsidR="00335E8B">
        <w:t xml:space="preserve">for </w:t>
      </w:r>
      <w:r w:rsidR="00625880">
        <w:t xml:space="preserve">wage </w:t>
      </w:r>
      <w:r w:rsidR="00335E8B">
        <w:t xml:space="preserve">increases to the current pay steps and the addition of pay steps to the existing </w:t>
      </w:r>
      <w:r w:rsidR="00625880">
        <w:t xml:space="preserve">pay </w:t>
      </w:r>
      <w:r w:rsidR="00335E8B">
        <w:t xml:space="preserve">grades </w:t>
      </w:r>
      <w:r w:rsidR="004118A2">
        <w:t xml:space="preserve">effective </w:t>
      </w:r>
      <w:r w:rsidR="00A27846">
        <w:t>March</w:t>
      </w:r>
      <w:r w:rsidR="004118A2">
        <w:t xml:space="preserve"> </w:t>
      </w:r>
      <w:r w:rsidR="00A27846">
        <w:t>2</w:t>
      </w:r>
      <w:r w:rsidR="00905A05">
        <w:t>2</w:t>
      </w:r>
      <w:r w:rsidR="004118A2">
        <w:t>, 20</w:t>
      </w:r>
      <w:r w:rsidR="00A27846">
        <w:t>20</w:t>
      </w:r>
      <w:r w:rsidR="004118A2">
        <w:t xml:space="preserve">, to aid in the hiring and retention of </w:t>
      </w:r>
      <w:r w:rsidR="00A27846">
        <w:t>staff in these positions</w:t>
      </w:r>
      <w:r w:rsidR="004118A2">
        <w:t xml:space="preserve">, by recommending adoption of the following: </w:t>
      </w:r>
    </w:p>
    <w:p w:rsidR="0007456D" w:rsidRDefault="006D354B" w:rsidP="00DE3B8D">
      <w:pPr>
        <w:pStyle w:val="ListParagraph"/>
        <w:spacing w:after="0"/>
        <w:ind w:left="2880" w:firstLine="720"/>
        <w:rPr>
          <w:b/>
        </w:rPr>
      </w:pPr>
      <w:r>
        <w:rPr>
          <w:b/>
        </w:rPr>
        <w:t>A RESOLUTION</w:t>
      </w:r>
    </w:p>
    <w:p w:rsidR="004E4AB2" w:rsidRDefault="004E4AB2" w:rsidP="00CE7242">
      <w:pPr>
        <w:pStyle w:val="ListParagraph"/>
        <w:spacing w:after="0"/>
        <w:ind w:left="0"/>
        <w:jc w:val="center"/>
        <w:rPr>
          <w:b/>
        </w:rPr>
      </w:pPr>
    </w:p>
    <w:p w:rsidR="00335E8B" w:rsidRDefault="00335E8B" w:rsidP="00CE724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Milwaukee County Parks requested the Department of Human Resources to review the classification</w:t>
      </w:r>
      <w:r w:rsidR="00182E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aquatic staff (</w:t>
      </w:r>
      <w:bookmarkStart w:id="1" w:name="_Hlk31698934"/>
      <w:r>
        <w:rPr>
          <w:rFonts w:ascii="Arial" w:hAnsi="Arial" w:cs="Arial"/>
        </w:rPr>
        <w:t>lifeguard seasonal, head lifeguard seasonal, assistant head lifeguard seasonal, lifeguard supervisor seasonal, head lifeguard</w:t>
      </w:r>
      <w:bookmarkEnd w:id="1"/>
      <w:r>
        <w:rPr>
          <w:rFonts w:ascii="Arial" w:hAnsi="Arial" w:cs="Arial"/>
        </w:rPr>
        <w:t xml:space="preserve">) as the </w:t>
      </w:r>
      <w:r w:rsidR="00182E1B">
        <w:rPr>
          <w:rFonts w:ascii="Arial" w:hAnsi="Arial" w:cs="Arial"/>
        </w:rPr>
        <w:t>positions have become increasingly difficult to fill resulting in the closure of some Parks’ aquatic facilities due to lack of</w:t>
      </w:r>
      <w:r w:rsidR="00AD31F8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>; and</w:t>
      </w:r>
    </w:p>
    <w:p w:rsidR="00D86B5B" w:rsidRDefault="00D86B5B" w:rsidP="00CE7242">
      <w:pPr>
        <w:pStyle w:val="ListParagraph"/>
        <w:spacing w:after="0"/>
        <w:ind w:left="0"/>
      </w:pPr>
    </w:p>
    <w:p w:rsidR="00D86B5B" w:rsidRDefault="00D86B5B" w:rsidP="00E5619C">
      <w:pPr>
        <w:pStyle w:val="ListParagraph"/>
        <w:ind w:left="0"/>
      </w:pPr>
      <w:r>
        <w:tab/>
        <w:t xml:space="preserve">WHEREAS, the </w:t>
      </w:r>
      <w:r w:rsidR="00CE7242" w:rsidRPr="00D52C78">
        <w:t xml:space="preserve">Director of Compensation/Human Resources </w:t>
      </w:r>
      <w:r w:rsidR="00AD31F8">
        <w:t>reviewed current compensation levels, job duties and requirements and comparative market data for similar jobs in the area</w:t>
      </w:r>
      <w:r w:rsidR="00AD45C3">
        <w:t>; and</w:t>
      </w:r>
    </w:p>
    <w:p w:rsidR="00AD45C3" w:rsidRDefault="00AD45C3" w:rsidP="00E5619C">
      <w:pPr>
        <w:pStyle w:val="ListParagraph"/>
        <w:ind w:left="0"/>
      </w:pPr>
    </w:p>
    <w:p w:rsidR="00AD45C3" w:rsidRDefault="00AD45C3" w:rsidP="00E5619C">
      <w:pPr>
        <w:pStyle w:val="ListParagraph"/>
        <w:ind w:left="0"/>
      </w:pPr>
      <w:r>
        <w:tab/>
        <w:t xml:space="preserve">WHEREAS, </w:t>
      </w:r>
      <w:r w:rsidR="00625880">
        <w:t xml:space="preserve">the review indicates that current compensation levels for these positions lag </w:t>
      </w:r>
      <w:r w:rsidR="004E4AB2">
        <w:t>the market; and</w:t>
      </w:r>
    </w:p>
    <w:p w:rsidR="006A1864" w:rsidRDefault="006A1864" w:rsidP="00E5619C">
      <w:pPr>
        <w:pStyle w:val="ListParagraph"/>
        <w:ind w:left="0"/>
      </w:pPr>
    </w:p>
    <w:p w:rsidR="004E4AB2" w:rsidRDefault="0007456D" w:rsidP="00E5619C">
      <w:pPr>
        <w:pStyle w:val="ListParagraph"/>
        <w:ind w:left="0"/>
      </w:pPr>
      <w:r>
        <w:tab/>
        <w:t>WHEREAS,</w:t>
      </w:r>
      <w:r w:rsidR="00194C79">
        <w:t xml:space="preserve"> </w:t>
      </w:r>
      <w:r w:rsidR="004E4AB2">
        <w:t xml:space="preserve">the uneven pay increases to different pay grades of aquatic classifications over the last decade, have created an imbalanced pay structure for these </w:t>
      </w:r>
      <w:r w:rsidR="003E7D7C">
        <w:t xml:space="preserve">pay </w:t>
      </w:r>
      <w:r w:rsidR="004E4AB2">
        <w:t>grades; and</w:t>
      </w:r>
    </w:p>
    <w:p w:rsidR="0007456D" w:rsidRDefault="00194C79" w:rsidP="00E5619C">
      <w:pPr>
        <w:pStyle w:val="ListParagraph"/>
        <w:ind w:left="0"/>
      </w:pPr>
      <w:r>
        <w:t xml:space="preserve">  </w:t>
      </w:r>
    </w:p>
    <w:p w:rsidR="00B26937" w:rsidRDefault="0007456D" w:rsidP="00F34BB8">
      <w:pPr>
        <w:pStyle w:val="ListParagraph"/>
        <w:ind w:left="0"/>
      </w:pPr>
      <w:r>
        <w:tab/>
        <w:t>WHEREAS,</w:t>
      </w:r>
      <w:r w:rsidR="00E45994">
        <w:t xml:space="preserve"> </w:t>
      </w:r>
      <w:r w:rsidR="00C56895">
        <w:t xml:space="preserve">the </w:t>
      </w:r>
      <w:r w:rsidR="00CE7242" w:rsidRPr="00D52C78">
        <w:t>Director of Compensation/Human Resources</w:t>
      </w:r>
      <w:r w:rsidR="00CE7242">
        <w:t xml:space="preserve">, after discussion and </w:t>
      </w:r>
      <w:r w:rsidR="00EF630E">
        <w:t xml:space="preserve">with and </w:t>
      </w:r>
      <w:r w:rsidR="00CE7242">
        <w:t xml:space="preserve">input from Parks’ Aquatic services leadership, recommends </w:t>
      </w:r>
      <w:r w:rsidR="00C56895">
        <w:t xml:space="preserve">and requests approval for </w:t>
      </w:r>
      <w:r w:rsidR="00CE7242">
        <w:t xml:space="preserve">the reallocation of </w:t>
      </w:r>
      <w:r w:rsidR="00C56895">
        <w:t xml:space="preserve">the following classifications; </w:t>
      </w:r>
      <w:r w:rsidR="00EF630E">
        <w:t>and</w:t>
      </w:r>
    </w:p>
    <w:p w:rsidR="00637AD7" w:rsidRDefault="00637AD7" w:rsidP="0007456D">
      <w:pPr>
        <w:pStyle w:val="ListParagraph"/>
        <w:ind w:left="0"/>
      </w:pPr>
    </w:p>
    <w:p w:rsidR="00F76964" w:rsidRDefault="00F76964" w:rsidP="00F76964">
      <w:pPr>
        <w:pStyle w:val="ListParagraph"/>
        <w:ind w:left="0" w:firstLine="720"/>
      </w:pPr>
      <w:r>
        <w:t xml:space="preserve">WHEREAS, pay grade </w:t>
      </w:r>
      <w:r w:rsidR="00881F94">
        <w:t>5123 for the Lifeguard Seasonal classification</w:t>
      </w:r>
      <w:r>
        <w:t xml:space="preserve"> be reallocated as follows:</w:t>
      </w:r>
    </w:p>
    <w:p w:rsidR="00DE3B8D" w:rsidRDefault="00DE3B8D" w:rsidP="00DE3B8D"/>
    <w:tbl>
      <w:tblPr>
        <w:tblW w:w="8800" w:type="dxa"/>
        <w:tblLook w:val="04A0" w:firstRow="1" w:lastRow="0" w:firstColumn="1" w:lastColumn="0" w:noHBand="0" w:noVBand="1"/>
      </w:tblPr>
      <w:tblGrid>
        <w:gridCol w:w="2660"/>
        <w:gridCol w:w="1060"/>
        <w:gridCol w:w="580"/>
        <w:gridCol w:w="2320"/>
        <w:gridCol w:w="2180"/>
      </w:tblGrid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Current paygrade 5123-DC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 5123-DC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$10.8897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$12.6897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$11.5752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$13.3752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3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$12.2612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3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$14.0612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Added Step 4 (Hourly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$14.7412</w:t>
            </w:r>
          </w:p>
        </w:tc>
      </w:tr>
    </w:tbl>
    <w:p w:rsidR="00DE3B8D" w:rsidRDefault="00DE3B8D" w:rsidP="00DE3B8D"/>
    <w:p w:rsidR="00881F94" w:rsidRDefault="00EF630E" w:rsidP="00881F94">
      <w:r>
        <w:lastRenderedPageBreak/>
        <w:t>a</w:t>
      </w:r>
      <w:r w:rsidR="005D1863">
        <w:t>n</w:t>
      </w:r>
      <w:r w:rsidR="00A344A9">
        <w:t>d</w:t>
      </w:r>
      <w:r>
        <w:t>;</w:t>
      </w:r>
    </w:p>
    <w:p w:rsidR="00F76964" w:rsidRDefault="00F76964" w:rsidP="00881F94">
      <w:pPr>
        <w:ind w:firstLine="720"/>
      </w:pPr>
      <w:r>
        <w:t xml:space="preserve">WHEREAS, pay grade </w:t>
      </w:r>
      <w:r w:rsidR="00881F94">
        <w:t xml:space="preserve">5124 for the Assistant Head </w:t>
      </w:r>
      <w:r w:rsidR="003345EB">
        <w:t>L</w:t>
      </w:r>
      <w:r w:rsidR="00881F94">
        <w:t>ifeguard Seasonal classification be</w:t>
      </w:r>
      <w:r>
        <w:t xml:space="preserve"> reallocated as follows:</w:t>
      </w:r>
    </w:p>
    <w:p w:rsidR="00DE3B8D" w:rsidRDefault="00DE3B8D" w:rsidP="00DE3B8D"/>
    <w:tbl>
      <w:tblPr>
        <w:tblW w:w="8800" w:type="dxa"/>
        <w:tblLook w:val="04A0" w:firstRow="1" w:lastRow="0" w:firstColumn="1" w:lastColumn="0" w:noHBand="0" w:noVBand="1"/>
      </w:tblPr>
      <w:tblGrid>
        <w:gridCol w:w="2660"/>
        <w:gridCol w:w="1060"/>
        <w:gridCol w:w="580"/>
        <w:gridCol w:w="2320"/>
        <w:gridCol w:w="2180"/>
      </w:tblGrid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Current paygrade 5124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 5124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$13.0671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$14.8671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$13.6157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$15.4157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Added Step 3 (Hourly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$15.9657</w:t>
            </w:r>
          </w:p>
        </w:tc>
      </w:tr>
    </w:tbl>
    <w:p w:rsidR="00DE3B8D" w:rsidRDefault="00DE3B8D" w:rsidP="00DE3B8D"/>
    <w:p w:rsidR="005D1863" w:rsidRDefault="005D1863" w:rsidP="005D1863"/>
    <w:p w:rsidR="005D1863" w:rsidRDefault="00EF630E" w:rsidP="00881F94">
      <w:r>
        <w:t>a</w:t>
      </w:r>
      <w:r w:rsidR="00881F94">
        <w:t>nd</w:t>
      </w:r>
      <w:r>
        <w:t>;</w:t>
      </w:r>
    </w:p>
    <w:p w:rsidR="00F76964" w:rsidRDefault="00F76964" w:rsidP="00881F94">
      <w:pPr>
        <w:ind w:firstLine="720"/>
      </w:pPr>
      <w:r>
        <w:t xml:space="preserve">WHEREAS, pay grade </w:t>
      </w:r>
      <w:r w:rsidR="00881F94">
        <w:t>511</w:t>
      </w:r>
      <w:r w:rsidR="00DE3B8D">
        <w:t>M</w:t>
      </w:r>
      <w:r w:rsidR="00881F94">
        <w:t xml:space="preserve"> for the Head lifeguard Seasonal classification</w:t>
      </w:r>
      <w:r>
        <w:t xml:space="preserve"> be reallocated as follows:</w:t>
      </w:r>
    </w:p>
    <w:p w:rsidR="00881F94" w:rsidRDefault="00881F94" w:rsidP="005D1863"/>
    <w:tbl>
      <w:tblPr>
        <w:tblW w:w="8800" w:type="dxa"/>
        <w:tblLook w:val="04A0" w:firstRow="1" w:lastRow="0" w:firstColumn="1" w:lastColumn="0" w:noHBand="0" w:noVBand="1"/>
      </w:tblPr>
      <w:tblGrid>
        <w:gridCol w:w="2310"/>
        <w:gridCol w:w="1410"/>
        <w:gridCol w:w="580"/>
        <w:gridCol w:w="2320"/>
        <w:gridCol w:w="2180"/>
      </w:tblGrid>
      <w:tr w:rsidR="00DE3B8D" w:rsidRPr="00DE3B8D" w:rsidTr="00DE3B8D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Current paygrade 511M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 511M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3B8D" w:rsidRPr="00DE3B8D" w:rsidTr="00DE3B8D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$14.3734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 1 (Hourly)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$16.9734</w:t>
            </w:r>
          </w:p>
        </w:tc>
      </w:tr>
      <w:tr w:rsidR="00DE3B8D" w:rsidRPr="00DE3B8D" w:rsidTr="00DE3B8D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$16.0545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$17.6734</w:t>
            </w:r>
          </w:p>
        </w:tc>
      </w:tr>
      <w:tr w:rsidR="00DE3B8D" w:rsidRPr="00DE3B8D" w:rsidTr="00DE3B8D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Added Step 3 (Hourly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$18.3734</w:t>
            </w:r>
          </w:p>
        </w:tc>
      </w:tr>
      <w:tr w:rsidR="00DE3B8D" w:rsidRPr="00DE3B8D" w:rsidTr="00DE3B8D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Added Step 4 (Hourly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$19.0734</w:t>
            </w:r>
          </w:p>
        </w:tc>
      </w:tr>
    </w:tbl>
    <w:p w:rsidR="000B140C" w:rsidRDefault="000B140C" w:rsidP="005D1863"/>
    <w:p w:rsidR="000B140C" w:rsidRDefault="00EF630E" w:rsidP="005D1863">
      <w:r>
        <w:t>a</w:t>
      </w:r>
      <w:r w:rsidR="000B140C">
        <w:t>nd</w:t>
      </w:r>
      <w:r>
        <w:t>;</w:t>
      </w:r>
    </w:p>
    <w:p w:rsidR="00881F94" w:rsidRDefault="00881F94" w:rsidP="005D1863"/>
    <w:p w:rsidR="00881F94" w:rsidRDefault="00881F94" w:rsidP="00881F94">
      <w:pPr>
        <w:pStyle w:val="ListParagraph"/>
        <w:ind w:left="0" w:firstLine="720"/>
      </w:pPr>
      <w:r>
        <w:t xml:space="preserve">WHEREAS, pay grade </w:t>
      </w:r>
      <w:r w:rsidR="000B140C">
        <w:t xml:space="preserve">09M for the Head Lifeguard classification </w:t>
      </w:r>
      <w:r>
        <w:t>be reallocated as follows: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660"/>
        <w:gridCol w:w="1060"/>
        <w:gridCol w:w="580"/>
        <w:gridCol w:w="2320"/>
        <w:gridCol w:w="2180"/>
      </w:tblGrid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Current paygrade 09M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 09M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1 (Hourly)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$15.7762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1 (Hourly)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$18.3762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$16.1764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$18.7764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3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$16.5987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3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$19.1987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4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$17.0615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4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$19.6615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5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$17.7199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5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$20.3199</w:t>
            </w:r>
          </w:p>
        </w:tc>
      </w:tr>
    </w:tbl>
    <w:p w:rsidR="00881F94" w:rsidRDefault="00881F94" w:rsidP="005D1863"/>
    <w:p w:rsidR="000B140C" w:rsidRDefault="00EF630E" w:rsidP="005D1863">
      <w:r>
        <w:t>A</w:t>
      </w:r>
      <w:r w:rsidR="000B140C">
        <w:t>nd</w:t>
      </w:r>
      <w:r>
        <w:t>;</w:t>
      </w:r>
      <w:r w:rsidR="000B140C">
        <w:tab/>
      </w:r>
    </w:p>
    <w:p w:rsidR="00881F94" w:rsidRDefault="00881F94" w:rsidP="005D1863"/>
    <w:p w:rsidR="00F76964" w:rsidRDefault="00F76964" w:rsidP="005D1863">
      <w:pPr>
        <w:ind w:firstLine="720"/>
      </w:pPr>
      <w:r>
        <w:t xml:space="preserve">WHEREAS, pay grade </w:t>
      </w:r>
      <w:r w:rsidR="000B140C">
        <w:t>512M</w:t>
      </w:r>
      <w:r>
        <w:t xml:space="preserve"> </w:t>
      </w:r>
      <w:r w:rsidR="000B140C">
        <w:t xml:space="preserve">for the classification of the Lifeguard Supervisor Seasonal </w:t>
      </w:r>
      <w:r>
        <w:t>be reallocated as follows:</w:t>
      </w:r>
    </w:p>
    <w:p w:rsidR="00881F94" w:rsidRDefault="00881F94" w:rsidP="00881F94"/>
    <w:tbl>
      <w:tblPr>
        <w:tblW w:w="8800" w:type="dxa"/>
        <w:tblLook w:val="04A0" w:firstRow="1" w:lastRow="0" w:firstColumn="1" w:lastColumn="0" w:noHBand="0" w:noVBand="1"/>
      </w:tblPr>
      <w:tblGrid>
        <w:gridCol w:w="2660"/>
        <w:gridCol w:w="1060"/>
        <w:gridCol w:w="580"/>
        <w:gridCol w:w="2320"/>
        <w:gridCol w:w="2180"/>
      </w:tblGrid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Current paygrade 512M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 512M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1 (Hourly)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$21.2853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1 (Hourly)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$22.7853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2 (Hourly)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$22.3152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Added Step 2 (Hourly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$23.7853</w:t>
            </w:r>
          </w:p>
        </w:tc>
      </w:tr>
      <w:tr w:rsidR="00DE3B8D" w:rsidRPr="00DE3B8D" w:rsidTr="00DE3B8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Step 3 (Hourly)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8D" w:rsidRPr="00DE3B8D" w:rsidRDefault="00DE3B8D" w:rsidP="00DE3B8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3B8D">
              <w:rPr>
                <w:rFonts w:ascii="Calibri" w:hAnsi="Calibri" w:cs="Calibri"/>
                <w:color w:val="000000"/>
                <w:sz w:val="22"/>
                <w:szCs w:val="22"/>
              </w:rPr>
              <w:t>$24.7853</w:t>
            </w:r>
          </w:p>
        </w:tc>
      </w:tr>
    </w:tbl>
    <w:p w:rsidR="00FC6C41" w:rsidRDefault="00637AD7" w:rsidP="0007456D">
      <w:pPr>
        <w:pStyle w:val="ListParagraph"/>
        <w:ind w:left="0"/>
      </w:pPr>
      <w:r>
        <w:lastRenderedPageBreak/>
        <w:tab/>
        <w:t xml:space="preserve">BE IT RESOLVED, that the Milwaukee County Board of Supervisors hereby </w:t>
      </w:r>
      <w:r w:rsidR="003E7D7C">
        <w:t>approves the reallocation of Milwaukee County Parks’ aquatic classification</w:t>
      </w:r>
      <w:r w:rsidR="00CE7242">
        <w:t>s as detailed above,</w:t>
      </w:r>
      <w:r>
        <w:t xml:space="preserve"> </w:t>
      </w:r>
      <w:r w:rsidR="00905A05">
        <w:t xml:space="preserve">effective Pay Period 8, </w:t>
      </w:r>
      <w:r>
        <w:t>beginni</w:t>
      </w:r>
      <w:r w:rsidR="00905A05">
        <w:t xml:space="preserve">ng </w:t>
      </w:r>
      <w:r w:rsidR="00CE7242">
        <w:t>March</w:t>
      </w:r>
      <w:r>
        <w:t xml:space="preserve"> </w:t>
      </w:r>
      <w:r w:rsidR="00CE7242">
        <w:t>2</w:t>
      </w:r>
      <w:r w:rsidR="00905A05">
        <w:t>2</w:t>
      </w:r>
      <w:r>
        <w:t>, 20</w:t>
      </w:r>
      <w:r w:rsidR="00CE7242">
        <w:t>20.</w:t>
      </w:r>
    </w:p>
    <w:p w:rsidR="00FC6C41" w:rsidRDefault="00FC6C41" w:rsidP="0007456D">
      <w:pPr>
        <w:pStyle w:val="ListParagraph"/>
        <w:ind w:left="0"/>
      </w:pPr>
    </w:p>
    <w:sectPr w:rsidR="00FC6C41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13" w:rsidRDefault="004A7813">
      <w:r>
        <w:separator/>
      </w:r>
    </w:p>
  </w:endnote>
  <w:endnote w:type="continuationSeparator" w:id="0">
    <w:p w:rsidR="004A7813" w:rsidRDefault="004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7C" w:rsidRDefault="003E7D7C">
    <w:pPr>
      <w:spacing w:line="240" w:lineRule="exact"/>
    </w:pPr>
  </w:p>
  <w:p w:rsidR="003E7D7C" w:rsidRDefault="003E7D7C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9E2B32"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13" w:rsidRDefault="004A7813">
      <w:r>
        <w:separator/>
      </w:r>
    </w:p>
  </w:footnote>
  <w:footnote w:type="continuationSeparator" w:id="0">
    <w:p w:rsidR="004A7813" w:rsidRDefault="004A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0"/>
    <w:rsid w:val="00001524"/>
    <w:rsid w:val="0001189A"/>
    <w:rsid w:val="00024240"/>
    <w:rsid w:val="00025757"/>
    <w:rsid w:val="0003107C"/>
    <w:rsid w:val="0004187E"/>
    <w:rsid w:val="00056A69"/>
    <w:rsid w:val="0007456D"/>
    <w:rsid w:val="00080AD6"/>
    <w:rsid w:val="00086BF7"/>
    <w:rsid w:val="000901D9"/>
    <w:rsid w:val="00093533"/>
    <w:rsid w:val="000944E6"/>
    <w:rsid w:val="000A0375"/>
    <w:rsid w:val="000A6FA0"/>
    <w:rsid w:val="000A7630"/>
    <w:rsid w:val="000B140C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2E1B"/>
    <w:rsid w:val="00184392"/>
    <w:rsid w:val="0018574F"/>
    <w:rsid w:val="00194C79"/>
    <w:rsid w:val="001B1455"/>
    <w:rsid w:val="001D5A05"/>
    <w:rsid w:val="001E6962"/>
    <w:rsid w:val="001F1DC5"/>
    <w:rsid w:val="00201F80"/>
    <w:rsid w:val="00206A0E"/>
    <w:rsid w:val="002076D2"/>
    <w:rsid w:val="00221749"/>
    <w:rsid w:val="002237BC"/>
    <w:rsid w:val="002362C4"/>
    <w:rsid w:val="0023644B"/>
    <w:rsid w:val="00252C03"/>
    <w:rsid w:val="00254161"/>
    <w:rsid w:val="0025693B"/>
    <w:rsid w:val="00263684"/>
    <w:rsid w:val="00266C6C"/>
    <w:rsid w:val="002711EB"/>
    <w:rsid w:val="00273EE5"/>
    <w:rsid w:val="00282B57"/>
    <w:rsid w:val="002839F3"/>
    <w:rsid w:val="00287052"/>
    <w:rsid w:val="00292129"/>
    <w:rsid w:val="00295F51"/>
    <w:rsid w:val="00296013"/>
    <w:rsid w:val="002A1977"/>
    <w:rsid w:val="002A6CE0"/>
    <w:rsid w:val="002B06DA"/>
    <w:rsid w:val="002B515F"/>
    <w:rsid w:val="002C661C"/>
    <w:rsid w:val="002D1813"/>
    <w:rsid w:val="002D59A9"/>
    <w:rsid w:val="002E3346"/>
    <w:rsid w:val="002E4D9D"/>
    <w:rsid w:val="002E5FDC"/>
    <w:rsid w:val="002F66A3"/>
    <w:rsid w:val="0030465D"/>
    <w:rsid w:val="00305E7D"/>
    <w:rsid w:val="00320132"/>
    <w:rsid w:val="003345EB"/>
    <w:rsid w:val="00335ABA"/>
    <w:rsid w:val="00335E8B"/>
    <w:rsid w:val="00340D83"/>
    <w:rsid w:val="00344D68"/>
    <w:rsid w:val="003575ED"/>
    <w:rsid w:val="003606B9"/>
    <w:rsid w:val="0037025B"/>
    <w:rsid w:val="00381131"/>
    <w:rsid w:val="003850E2"/>
    <w:rsid w:val="0039092B"/>
    <w:rsid w:val="00393D76"/>
    <w:rsid w:val="00397813"/>
    <w:rsid w:val="003978A8"/>
    <w:rsid w:val="003A4B66"/>
    <w:rsid w:val="003B0966"/>
    <w:rsid w:val="003B6EFA"/>
    <w:rsid w:val="003C0946"/>
    <w:rsid w:val="003C484C"/>
    <w:rsid w:val="003D0352"/>
    <w:rsid w:val="003D10FA"/>
    <w:rsid w:val="003D3897"/>
    <w:rsid w:val="003D646B"/>
    <w:rsid w:val="003E0C44"/>
    <w:rsid w:val="003E4D6E"/>
    <w:rsid w:val="003E53FD"/>
    <w:rsid w:val="003E7D7C"/>
    <w:rsid w:val="003F033A"/>
    <w:rsid w:val="003F7797"/>
    <w:rsid w:val="003F7E98"/>
    <w:rsid w:val="004118A2"/>
    <w:rsid w:val="004134D8"/>
    <w:rsid w:val="00423434"/>
    <w:rsid w:val="00426382"/>
    <w:rsid w:val="004340CE"/>
    <w:rsid w:val="00440117"/>
    <w:rsid w:val="0045334E"/>
    <w:rsid w:val="004541A4"/>
    <w:rsid w:val="0046281E"/>
    <w:rsid w:val="00485468"/>
    <w:rsid w:val="00491424"/>
    <w:rsid w:val="0049167F"/>
    <w:rsid w:val="00496FB8"/>
    <w:rsid w:val="004A2DE9"/>
    <w:rsid w:val="004A7813"/>
    <w:rsid w:val="004B1DD0"/>
    <w:rsid w:val="004C0424"/>
    <w:rsid w:val="004C5DA4"/>
    <w:rsid w:val="004C7A11"/>
    <w:rsid w:val="004D08BB"/>
    <w:rsid w:val="004D14AA"/>
    <w:rsid w:val="004E4AB2"/>
    <w:rsid w:val="004F11BC"/>
    <w:rsid w:val="0050091D"/>
    <w:rsid w:val="00507B6D"/>
    <w:rsid w:val="00515853"/>
    <w:rsid w:val="00517B1C"/>
    <w:rsid w:val="005203C8"/>
    <w:rsid w:val="00535A2B"/>
    <w:rsid w:val="00554FEA"/>
    <w:rsid w:val="00566EB1"/>
    <w:rsid w:val="00571917"/>
    <w:rsid w:val="00572AA6"/>
    <w:rsid w:val="00583B2F"/>
    <w:rsid w:val="00583C73"/>
    <w:rsid w:val="00590F1A"/>
    <w:rsid w:val="00593152"/>
    <w:rsid w:val="0059662B"/>
    <w:rsid w:val="00597058"/>
    <w:rsid w:val="005A2A13"/>
    <w:rsid w:val="005A4159"/>
    <w:rsid w:val="005A4961"/>
    <w:rsid w:val="005B083A"/>
    <w:rsid w:val="005B366F"/>
    <w:rsid w:val="005B5CF5"/>
    <w:rsid w:val="005C2704"/>
    <w:rsid w:val="005C2980"/>
    <w:rsid w:val="005C55F5"/>
    <w:rsid w:val="005C6DB1"/>
    <w:rsid w:val="005C7980"/>
    <w:rsid w:val="005D1863"/>
    <w:rsid w:val="005D4375"/>
    <w:rsid w:val="005E1D80"/>
    <w:rsid w:val="006008AF"/>
    <w:rsid w:val="0060695A"/>
    <w:rsid w:val="00607BDE"/>
    <w:rsid w:val="00611BB4"/>
    <w:rsid w:val="00614C8D"/>
    <w:rsid w:val="00622E29"/>
    <w:rsid w:val="00624D9E"/>
    <w:rsid w:val="00625880"/>
    <w:rsid w:val="006352C0"/>
    <w:rsid w:val="0063724B"/>
    <w:rsid w:val="00637AD7"/>
    <w:rsid w:val="006409DE"/>
    <w:rsid w:val="00647465"/>
    <w:rsid w:val="00664D5A"/>
    <w:rsid w:val="006707D0"/>
    <w:rsid w:val="00674B92"/>
    <w:rsid w:val="0068587C"/>
    <w:rsid w:val="006858AF"/>
    <w:rsid w:val="00690CD3"/>
    <w:rsid w:val="006930B1"/>
    <w:rsid w:val="006A1864"/>
    <w:rsid w:val="006A3172"/>
    <w:rsid w:val="006B28A6"/>
    <w:rsid w:val="006B4314"/>
    <w:rsid w:val="006B5ADC"/>
    <w:rsid w:val="006C68CF"/>
    <w:rsid w:val="006C6DD8"/>
    <w:rsid w:val="006C7D5E"/>
    <w:rsid w:val="006D354B"/>
    <w:rsid w:val="006D7B79"/>
    <w:rsid w:val="006F1AE9"/>
    <w:rsid w:val="006F4423"/>
    <w:rsid w:val="006F735E"/>
    <w:rsid w:val="007018A6"/>
    <w:rsid w:val="00701EAA"/>
    <w:rsid w:val="00702AAB"/>
    <w:rsid w:val="00706740"/>
    <w:rsid w:val="007167CF"/>
    <w:rsid w:val="007328A4"/>
    <w:rsid w:val="00737459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B7193"/>
    <w:rsid w:val="007C4E30"/>
    <w:rsid w:val="007E0334"/>
    <w:rsid w:val="007E4967"/>
    <w:rsid w:val="007E4FCA"/>
    <w:rsid w:val="007F751E"/>
    <w:rsid w:val="00800070"/>
    <w:rsid w:val="00820FB7"/>
    <w:rsid w:val="00821ED9"/>
    <w:rsid w:val="00822DC7"/>
    <w:rsid w:val="008238CB"/>
    <w:rsid w:val="008245B1"/>
    <w:rsid w:val="00825C98"/>
    <w:rsid w:val="00832F73"/>
    <w:rsid w:val="008350E5"/>
    <w:rsid w:val="00844756"/>
    <w:rsid w:val="0085628E"/>
    <w:rsid w:val="00860DDC"/>
    <w:rsid w:val="00870DEC"/>
    <w:rsid w:val="0087522B"/>
    <w:rsid w:val="0087527B"/>
    <w:rsid w:val="0087667E"/>
    <w:rsid w:val="00881F94"/>
    <w:rsid w:val="00891906"/>
    <w:rsid w:val="00896B13"/>
    <w:rsid w:val="008A31D5"/>
    <w:rsid w:val="008A3DD2"/>
    <w:rsid w:val="008A6724"/>
    <w:rsid w:val="008A70C8"/>
    <w:rsid w:val="008B4117"/>
    <w:rsid w:val="008C1A0D"/>
    <w:rsid w:val="008C5C4F"/>
    <w:rsid w:val="008D6A14"/>
    <w:rsid w:val="008E5864"/>
    <w:rsid w:val="008F4508"/>
    <w:rsid w:val="008F76C6"/>
    <w:rsid w:val="008F7FE2"/>
    <w:rsid w:val="00900173"/>
    <w:rsid w:val="00905A05"/>
    <w:rsid w:val="0091651B"/>
    <w:rsid w:val="00922144"/>
    <w:rsid w:val="0092230F"/>
    <w:rsid w:val="009445E2"/>
    <w:rsid w:val="009452E8"/>
    <w:rsid w:val="009462A9"/>
    <w:rsid w:val="00950D5A"/>
    <w:rsid w:val="0095197C"/>
    <w:rsid w:val="00955C29"/>
    <w:rsid w:val="00956EFB"/>
    <w:rsid w:val="00962DA6"/>
    <w:rsid w:val="00964F54"/>
    <w:rsid w:val="00971FBB"/>
    <w:rsid w:val="00972DB7"/>
    <w:rsid w:val="00977C7B"/>
    <w:rsid w:val="00997B98"/>
    <w:rsid w:val="009A0E6F"/>
    <w:rsid w:val="009A0FAA"/>
    <w:rsid w:val="009C021B"/>
    <w:rsid w:val="009C55D4"/>
    <w:rsid w:val="009C72BA"/>
    <w:rsid w:val="009D2E56"/>
    <w:rsid w:val="009E281A"/>
    <w:rsid w:val="009E2B32"/>
    <w:rsid w:val="009F6170"/>
    <w:rsid w:val="009F6D73"/>
    <w:rsid w:val="009F70DC"/>
    <w:rsid w:val="00A0506A"/>
    <w:rsid w:val="00A137EA"/>
    <w:rsid w:val="00A139A4"/>
    <w:rsid w:val="00A20FAF"/>
    <w:rsid w:val="00A27846"/>
    <w:rsid w:val="00A27CA9"/>
    <w:rsid w:val="00A3269A"/>
    <w:rsid w:val="00A344A9"/>
    <w:rsid w:val="00A34671"/>
    <w:rsid w:val="00A407F2"/>
    <w:rsid w:val="00A5040E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87AC3"/>
    <w:rsid w:val="00A9425E"/>
    <w:rsid w:val="00A95EB7"/>
    <w:rsid w:val="00AA38F6"/>
    <w:rsid w:val="00AA4F36"/>
    <w:rsid w:val="00AB274B"/>
    <w:rsid w:val="00AB2E67"/>
    <w:rsid w:val="00AB5C63"/>
    <w:rsid w:val="00AC14F0"/>
    <w:rsid w:val="00AC17D7"/>
    <w:rsid w:val="00AC19C7"/>
    <w:rsid w:val="00AD0FFC"/>
    <w:rsid w:val="00AD31F8"/>
    <w:rsid w:val="00AD45C3"/>
    <w:rsid w:val="00AD6333"/>
    <w:rsid w:val="00AD66AF"/>
    <w:rsid w:val="00AD7378"/>
    <w:rsid w:val="00AE5551"/>
    <w:rsid w:val="00B100E9"/>
    <w:rsid w:val="00B13682"/>
    <w:rsid w:val="00B143A7"/>
    <w:rsid w:val="00B16086"/>
    <w:rsid w:val="00B26220"/>
    <w:rsid w:val="00B26937"/>
    <w:rsid w:val="00B3335B"/>
    <w:rsid w:val="00B4764C"/>
    <w:rsid w:val="00B618AB"/>
    <w:rsid w:val="00B63680"/>
    <w:rsid w:val="00B650D6"/>
    <w:rsid w:val="00B65CD9"/>
    <w:rsid w:val="00B745B2"/>
    <w:rsid w:val="00B83884"/>
    <w:rsid w:val="00BB395A"/>
    <w:rsid w:val="00BC09A3"/>
    <w:rsid w:val="00BC2BF1"/>
    <w:rsid w:val="00BC745B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1903"/>
    <w:rsid w:val="00C46871"/>
    <w:rsid w:val="00C503CE"/>
    <w:rsid w:val="00C56895"/>
    <w:rsid w:val="00C80247"/>
    <w:rsid w:val="00C8756A"/>
    <w:rsid w:val="00C8760A"/>
    <w:rsid w:val="00C93A7F"/>
    <w:rsid w:val="00C942F8"/>
    <w:rsid w:val="00CA3B93"/>
    <w:rsid w:val="00CB2D22"/>
    <w:rsid w:val="00CC2C19"/>
    <w:rsid w:val="00CD27EB"/>
    <w:rsid w:val="00CD29C6"/>
    <w:rsid w:val="00CE147A"/>
    <w:rsid w:val="00CE4963"/>
    <w:rsid w:val="00CE7242"/>
    <w:rsid w:val="00CE7CE1"/>
    <w:rsid w:val="00CF6C0E"/>
    <w:rsid w:val="00D00501"/>
    <w:rsid w:val="00D00598"/>
    <w:rsid w:val="00D01441"/>
    <w:rsid w:val="00D135CC"/>
    <w:rsid w:val="00D15E13"/>
    <w:rsid w:val="00D17A15"/>
    <w:rsid w:val="00D3145E"/>
    <w:rsid w:val="00D44CF4"/>
    <w:rsid w:val="00D4736E"/>
    <w:rsid w:val="00D50FBE"/>
    <w:rsid w:val="00D54146"/>
    <w:rsid w:val="00D5425D"/>
    <w:rsid w:val="00D620C8"/>
    <w:rsid w:val="00D62DA8"/>
    <w:rsid w:val="00D72EB8"/>
    <w:rsid w:val="00D742DC"/>
    <w:rsid w:val="00D7479E"/>
    <w:rsid w:val="00D766AD"/>
    <w:rsid w:val="00D86B5B"/>
    <w:rsid w:val="00D8751F"/>
    <w:rsid w:val="00D9120B"/>
    <w:rsid w:val="00DA1188"/>
    <w:rsid w:val="00DA1675"/>
    <w:rsid w:val="00DA59A7"/>
    <w:rsid w:val="00DA6556"/>
    <w:rsid w:val="00DA7E01"/>
    <w:rsid w:val="00DB1394"/>
    <w:rsid w:val="00DB61CE"/>
    <w:rsid w:val="00DC0A51"/>
    <w:rsid w:val="00DC5865"/>
    <w:rsid w:val="00DD7025"/>
    <w:rsid w:val="00DE290A"/>
    <w:rsid w:val="00DE3B8D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5994"/>
    <w:rsid w:val="00E4706B"/>
    <w:rsid w:val="00E509ED"/>
    <w:rsid w:val="00E53FC8"/>
    <w:rsid w:val="00E5619C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B4500"/>
    <w:rsid w:val="00EC22A5"/>
    <w:rsid w:val="00EC3A8E"/>
    <w:rsid w:val="00ED2720"/>
    <w:rsid w:val="00ED76D1"/>
    <w:rsid w:val="00EE0B50"/>
    <w:rsid w:val="00EF0209"/>
    <w:rsid w:val="00EF17C5"/>
    <w:rsid w:val="00EF27CD"/>
    <w:rsid w:val="00EF3132"/>
    <w:rsid w:val="00EF630E"/>
    <w:rsid w:val="00EF6BC7"/>
    <w:rsid w:val="00EF7326"/>
    <w:rsid w:val="00F02E3A"/>
    <w:rsid w:val="00F03768"/>
    <w:rsid w:val="00F10691"/>
    <w:rsid w:val="00F20E7C"/>
    <w:rsid w:val="00F20F39"/>
    <w:rsid w:val="00F309CD"/>
    <w:rsid w:val="00F34BB8"/>
    <w:rsid w:val="00F5533C"/>
    <w:rsid w:val="00F56C5C"/>
    <w:rsid w:val="00F602ED"/>
    <w:rsid w:val="00F76743"/>
    <w:rsid w:val="00F76964"/>
    <w:rsid w:val="00F81A83"/>
    <w:rsid w:val="00F8488C"/>
    <w:rsid w:val="00F947DD"/>
    <w:rsid w:val="00F95E9C"/>
    <w:rsid w:val="00FB4A1D"/>
    <w:rsid w:val="00FC1024"/>
    <w:rsid w:val="00FC135C"/>
    <w:rsid w:val="00FC6C4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B9027-9347-4BC2-A9E5-250BF28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6C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8CF"/>
    <w:rPr>
      <w:b/>
      <w:bCs/>
    </w:rPr>
  </w:style>
  <w:style w:type="table" w:styleId="TableGrid">
    <w:name w:val="Table Grid"/>
    <w:basedOn w:val="TableNormal"/>
    <w:uiPriority w:val="59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35E8B"/>
    <w:pPr>
      <w:widowControl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4DE7-8710-4B50-9C00-2A9E0B33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0</TotalTime>
  <Pages>3</Pages>
  <Words>505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 Diliberti</vt:lpstr>
    </vt:vector>
  </TitlesOfParts>
  <Company>Milwaukee County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 Diliberti</dc:title>
  <dc:subject/>
  <dc:creator>Department of Human Resources</dc:creator>
  <cp:keywords/>
  <cp:lastModifiedBy>Tillman, Mark</cp:lastModifiedBy>
  <cp:revision>2</cp:revision>
  <cp:lastPrinted>2020-02-21T13:43:00Z</cp:lastPrinted>
  <dcterms:created xsi:type="dcterms:W3CDTF">2020-02-21T21:46:00Z</dcterms:created>
  <dcterms:modified xsi:type="dcterms:W3CDTF">2020-02-21T21:46:00Z</dcterms:modified>
</cp:coreProperties>
</file>