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D52C78">
        <w:rPr>
          <w:rFonts w:ascii="Arial" w:hAnsi="Arial" w:cs="Arial"/>
          <w:sz w:val="24"/>
          <w:szCs w:val="24"/>
        </w:rPr>
        <w:t>19-XXX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3C2FAC">
        <w:rPr>
          <w:rFonts w:ascii="Arial" w:hAnsi="Arial" w:cs="Arial"/>
          <w:sz w:val="24"/>
          <w:szCs w:val="24"/>
        </w:rPr>
        <w:t>one</w:t>
      </w:r>
      <w:r w:rsidR="00B15331">
        <w:rPr>
          <w:rFonts w:ascii="Arial" w:hAnsi="Arial" w:cs="Arial"/>
          <w:sz w:val="24"/>
          <w:szCs w:val="24"/>
        </w:rPr>
        <w:t xml:space="preserve">, </w:t>
      </w:r>
      <w:r w:rsidR="002B33F1">
        <w:rPr>
          <w:rFonts w:ascii="Arial" w:hAnsi="Arial" w:cs="Arial"/>
          <w:sz w:val="24"/>
          <w:szCs w:val="24"/>
        </w:rPr>
        <w:t xml:space="preserve">Full Time Equivalent, </w:t>
      </w:r>
      <w:r w:rsidR="00217079">
        <w:rPr>
          <w:rFonts w:ascii="Arial" w:hAnsi="Arial" w:cs="Arial"/>
          <w:sz w:val="24"/>
          <w:szCs w:val="24"/>
        </w:rPr>
        <w:t>IT Asset Management Lead</w:t>
      </w:r>
      <w:r w:rsidR="00BE4641" w:rsidRPr="00D52C78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(title cod</w:t>
      </w:r>
      <w:r w:rsidR="00D52C78">
        <w:rPr>
          <w:rFonts w:ascii="Arial" w:hAnsi="Arial" w:cs="Arial"/>
          <w:sz w:val="24"/>
          <w:szCs w:val="24"/>
        </w:rPr>
        <w:t xml:space="preserve">e </w:t>
      </w:r>
      <w:r w:rsidR="002B33F1">
        <w:rPr>
          <w:rFonts w:ascii="Arial" w:hAnsi="Arial" w:cs="Arial"/>
          <w:sz w:val="24"/>
          <w:szCs w:val="24"/>
        </w:rPr>
        <w:t>to be determined</w:t>
      </w:r>
      <w:r w:rsidR="00D52C78">
        <w:rPr>
          <w:rFonts w:ascii="Arial" w:hAnsi="Arial" w:cs="Arial"/>
          <w:sz w:val="24"/>
          <w:szCs w:val="24"/>
        </w:rPr>
        <w:t xml:space="preserve">, pay grade </w:t>
      </w:r>
      <w:r w:rsidR="00217079">
        <w:rPr>
          <w:rFonts w:ascii="Arial" w:hAnsi="Arial" w:cs="Arial"/>
          <w:sz w:val="24"/>
          <w:szCs w:val="24"/>
        </w:rPr>
        <w:t>31</w:t>
      </w:r>
      <w:r w:rsidR="003C2FAC">
        <w:rPr>
          <w:rFonts w:ascii="Arial" w:hAnsi="Arial" w:cs="Arial"/>
          <w:sz w:val="24"/>
          <w:szCs w:val="24"/>
        </w:rPr>
        <w:t>M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217079">
        <w:rPr>
          <w:rFonts w:ascii="Arial" w:hAnsi="Arial" w:cs="Arial"/>
          <w:sz w:val="24"/>
          <w:szCs w:val="24"/>
        </w:rPr>
        <w:t>Information Management Services Division</w:t>
      </w:r>
      <w:r w:rsidRPr="00D52C78">
        <w:rPr>
          <w:rFonts w:ascii="Arial" w:hAnsi="Arial" w:cs="Arial"/>
          <w:sz w:val="24"/>
          <w:szCs w:val="24"/>
        </w:rPr>
        <w:t xml:space="preserve"> by recommending adoption of the following:</w:t>
      </w:r>
    </w:p>
    <w:p w:rsidR="000F3EEA" w:rsidRPr="007A60CC" w:rsidRDefault="000F3EEA">
      <w:pPr>
        <w:rPr>
          <w:rFonts w:ascii="Arial" w:hAnsi="Arial" w:cs="Arial"/>
          <w:sz w:val="22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>classification of one</w:t>
      </w:r>
      <w:r w:rsidR="00E7520F">
        <w:rPr>
          <w:rFonts w:ascii="Arial" w:hAnsi="Arial" w:cs="Arial"/>
        </w:rPr>
        <w:t xml:space="preserve">, </w:t>
      </w:r>
      <w:r w:rsidR="00217079">
        <w:rPr>
          <w:rFonts w:ascii="Arial" w:hAnsi="Arial" w:cs="Arial"/>
        </w:rPr>
        <w:t>IT Asset Management Lead</w:t>
      </w:r>
      <w:bookmarkStart w:id="0" w:name="_GoBack"/>
      <w:bookmarkEnd w:id="0"/>
      <w:r w:rsidRPr="00D52C78">
        <w:rPr>
          <w:rFonts w:ascii="Arial" w:hAnsi="Arial" w:cs="Arial"/>
        </w:rPr>
        <w:t>; and</w:t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and Audit a part of File No. XX-XX; and</w:t>
      </w:r>
    </w:p>
    <w:p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Asset Management Lead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Org. - </w:t>
            </w:r>
            <w:r w:rsidRPr="00CF128A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1160 – Information Management Services Division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31M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Step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CF128A">
              <w:rPr>
                <w:rFonts w:ascii="Arial" w:hAnsi="Arial" w:cs="Arial"/>
                <w:sz w:val="24"/>
                <w:szCs w:val="24"/>
              </w:rPr>
              <w:t xml:space="preserve">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$65,864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 xml:space="preserve">Step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CF128A">
              <w:rPr>
                <w:rFonts w:ascii="Arial" w:hAnsi="Arial" w:cs="Arial"/>
                <w:sz w:val="24"/>
                <w:szCs w:val="24"/>
              </w:rPr>
              <w:t>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$69,036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79" w:rsidRPr="00CF128A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79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$72,143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79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79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$75,313</w:t>
            </w:r>
          </w:p>
        </w:tc>
      </w:tr>
      <w:tr w:rsidR="00217079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79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79" w:rsidRDefault="00217079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$78,427</w:t>
            </w:r>
          </w:p>
        </w:tc>
      </w:tr>
    </w:tbl>
    <w:p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079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F3EEA"/>
    <w:rsid w:val="000F4242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2AC0"/>
    <w:rsid w:val="001F6B55"/>
    <w:rsid w:val="002017DA"/>
    <w:rsid w:val="00217079"/>
    <w:rsid w:val="00234663"/>
    <w:rsid w:val="00241E08"/>
    <w:rsid w:val="00243849"/>
    <w:rsid w:val="00247636"/>
    <w:rsid w:val="002519B3"/>
    <w:rsid w:val="002545E5"/>
    <w:rsid w:val="00282051"/>
    <w:rsid w:val="00283B02"/>
    <w:rsid w:val="002B33F1"/>
    <w:rsid w:val="002D37EF"/>
    <w:rsid w:val="002F4EFA"/>
    <w:rsid w:val="0030298C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C2FAC"/>
    <w:rsid w:val="003C6412"/>
    <w:rsid w:val="0040562C"/>
    <w:rsid w:val="00420C21"/>
    <w:rsid w:val="00424CD2"/>
    <w:rsid w:val="0043209C"/>
    <w:rsid w:val="0044164C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97F75"/>
    <w:rsid w:val="005B1B85"/>
    <w:rsid w:val="005C4C2F"/>
    <w:rsid w:val="005E19BE"/>
    <w:rsid w:val="005E1D3F"/>
    <w:rsid w:val="005E3CB0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A60CC"/>
    <w:rsid w:val="007C0A41"/>
    <w:rsid w:val="007C17D7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D1C4B"/>
    <w:rsid w:val="0091137E"/>
    <w:rsid w:val="00912AB5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B01324"/>
    <w:rsid w:val="00B15331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BE4641"/>
    <w:rsid w:val="00C449D3"/>
    <w:rsid w:val="00C47BE4"/>
    <w:rsid w:val="00C878D2"/>
    <w:rsid w:val="00C93E8D"/>
    <w:rsid w:val="00CA4755"/>
    <w:rsid w:val="00CA6246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C7306"/>
    <w:rsid w:val="00DD0D9A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3</cp:revision>
  <cp:lastPrinted>2019-11-08T21:32:00Z</cp:lastPrinted>
  <dcterms:created xsi:type="dcterms:W3CDTF">2019-11-08T21:35:00Z</dcterms:created>
  <dcterms:modified xsi:type="dcterms:W3CDTF">2019-11-08T21:41:00Z</dcterms:modified>
</cp:coreProperties>
</file>