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1F" w:rsidRPr="00DB61CE" w:rsidRDefault="00C1261F" w:rsidP="00C1261F">
      <w:pPr>
        <w:pStyle w:val="ListParagraph"/>
        <w:ind w:left="0"/>
      </w:pPr>
      <w:r w:rsidRPr="00DB61CE">
        <w:t>By Supervisor</w:t>
      </w:r>
      <w:r w:rsidR="00B30D08">
        <w:t xml:space="preserve"> Weishan, Jr.</w:t>
      </w:r>
      <w:r w:rsidR="00AB274B">
        <w:tab/>
      </w:r>
      <w:r w:rsidR="00AB274B">
        <w:tab/>
      </w:r>
      <w:r w:rsidR="00AB274B">
        <w:tab/>
      </w:r>
      <w:r w:rsidR="00AB274B">
        <w:tab/>
      </w:r>
      <w:r w:rsidR="007C4E30">
        <w:tab/>
      </w:r>
      <w:r w:rsidR="007C4E30">
        <w:tab/>
      </w:r>
      <w:r w:rsidR="00D4331A">
        <w:t xml:space="preserve">       </w:t>
      </w:r>
      <w:r w:rsidR="003D10FA">
        <w:t xml:space="preserve">File No. </w:t>
      </w:r>
      <w:r w:rsidR="00AB5C63">
        <w:t>19</w:t>
      </w:r>
      <w:r w:rsidR="00E5619C">
        <w:t>-</w:t>
      </w:r>
      <w:r w:rsidR="0025591D">
        <w:t>742</w:t>
      </w:r>
    </w:p>
    <w:p w:rsidR="00C1261F" w:rsidRDefault="00C1261F" w:rsidP="00C1261F">
      <w:pPr>
        <w:pStyle w:val="ListParagraph"/>
        <w:ind w:left="0"/>
        <w:jc w:val="center"/>
        <w:rPr>
          <w:b/>
        </w:rPr>
      </w:pPr>
    </w:p>
    <w:p w:rsidR="00B30D08" w:rsidRPr="00DB61CE" w:rsidRDefault="00B30D08" w:rsidP="00C1261F">
      <w:pPr>
        <w:pStyle w:val="ListParagraph"/>
        <w:ind w:left="0"/>
        <w:jc w:val="center"/>
        <w:rPr>
          <w:b/>
        </w:rPr>
      </w:pPr>
    </w:p>
    <w:p w:rsidR="005A4159" w:rsidRDefault="006D354B" w:rsidP="005A4159">
      <w:pPr>
        <w:pStyle w:val="ListParagraph"/>
        <w:ind w:left="0"/>
        <w:jc w:val="center"/>
        <w:rPr>
          <w:b/>
        </w:rPr>
      </w:pPr>
      <w:r>
        <w:rPr>
          <w:b/>
        </w:rPr>
        <w:t>A RESOLUTION</w:t>
      </w:r>
    </w:p>
    <w:p w:rsidR="00B30D08" w:rsidRDefault="00B30D08" w:rsidP="00106937">
      <w:pPr>
        <w:pStyle w:val="ListParagraph"/>
        <w:ind w:left="0"/>
      </w:pPr>
    </w:p>
    <w:p w:rsidR="0007456D" w:rsidRDefault="003B4AB8" w:rsidP="002B358D">
      <w:pPr>
        <w:pStyle w:val="ListParagraph"/>
        <w:ind w:left="0"/>
        <w:jc w:val="center"/>
      </w:pPr>
      <w:r>
        <w:t>Authorizing and directing</w:t>
      </w:r>
      <w:r w:rsidR="00B30D08">
        <w:t xml:space="preserve"> an amendment to the </w:t>
      </w:r>
      <w:r w:rsidR="00B332AF">
        <w:t>2017 Contribution Agreement</w:t>
      </w:r>
      <w:r w:rsidR="00B30D08">
        <w:t xml:space="preserve"> with the Milwaukee County War Memorial to increase Milwaukee County’s contribution to the War Memorial from $486,000 annually to $700,000 for the years 2020 to 2030</w:t>
      </w:r>
    </w:p>
    <w:p w:rsidR="00B30D08" w:rsidRDefault="00B30D08" w:rsidP="00106937">
      <w:pPr>
        <w:pStyle w:val="ListParagraph"/>
        <w:ind w:left="0"/>
      </w:pPr>
    </w:p>
    <w:p w:rsidR="00B30D08" w:rsidRDefault="00B30D08" w:rsidP="00106937">
      <w:pPr>
        <w:pStyle w:val="ListParagraph"/>
        <w:ind w:left="0"/>
      </w:pPr>
      <w:r>
        <w:tab/>
      </w:r>
    </w:p>
    <w:p w:rsidR="00B30D08" w:rsidRDefault="00B30D08" w:rsidP="00106937">
      <w:pPr>
        <w:pStyle w:val="ListParagraph"/>
        <w:ind w:left="0"/>
      </w:pPr>
      <w:r>
        <w:tab/>
        <w:t>WHEREAS, Milwaukee County adopted File No. 13594 on March 17, 1953, creating the Milwaukee County War Memorial Center, Inc. (the “War Memorial”), a non-profit organization, and approving the construction of a war memorial in an area within Juneau Park; and</w:t>
      </w:r>
    </w:p>
    <w:p w:rsidR="00B30D08" w:rsidRDefault="00B30D08" w:rsidP="00106937">
      <w:pPr>
        <w:pStyle w:val="ListParagraph"/>
        <w:ind w:left="0"/>
      </w:pPr>
    </w:p>
    <w:p w:rsidR="00B30D08" w:rsidRDefault="00B30D08" w:rsidP="00106937">
      <w:pPr>
        <w:pStyle w:val="ListParagraph"/>
        <w:ind w:left="0"/>
      </w:pPr>
      <w:r>
        <w:tab/>
        <w:t>WHEREAS, the War Memorial’s mission is to “honor the dead. Serve the living”, which they accomplish by creating space to honor the 3,481 men and women from Milwaukee County who died in the line of duty while also providing a hub for veterans</w:t>
      </w:r>
      <w:r w:rsidR="00662011">
        <w:t xml:space="preserve">, their families, and the public </w:t>
      </w:r>
      <w:r w:rsidR="00A71C95">
        <w:t>with</w:t>
      </w:r>
      <w:r w:rsidR="00662011">
        <w:t xml:space="preserve">in </w:t>
      </w:r>
      <w:r>
        <w:t>Milwaukee County; and</w:t>
      </w:r>
    </w:p>
    <w:p w:rsidR="00B30D08" w:rsidRDefault="00B30D08" w:rsidP="00106937">
      <w:pPr>
        <w:pStyle w:val="ListParagraph"/>
        <w:ind w:left="0"/>
      </w:pPr>
    </w:p>
    <w:p w:rsidR="002B358D" w:rsidRDefault="00B30D08" w:rsidP="00106937">
      <w:pPr>
        <w:pStyle w:val="ListParagraph"/>
        <w:ind w:left="0"/>
      </w:pPr>
      <w:r>
        <w:tab/>
        <w:t xml:space="preserve">WHEREAS,  </w:t>
      </w:r>
      <w:r w:rsidR="002B358D">
        <w:t>Milwaukee County adopted File No. 13-647 on July 25, 2013, approving a new Lease Agreement with the War Memorial, outlining updated financial commitments for both parties; and</w:t>
      </w:r>
    </w:p>
    <w:p w:rsidR="002B358D" w:rsidRDefault="002B358D" w:rsidP="00106937">
      <w:pPr>
        <w:pStyle w:val="ListParagraph"/>
        <w:ind w:left="0"/>
      </w:pPr>
    </w:p>
    <w:p w:rsidR="0028093E" w:rsidRDefault="002B358D" w:rsidP="00106937">
      <w:pPr>
        <w:pStyle w:val="ListParagraph"/>
        <w:ind w:left="0"/>
      </w:pPr>
      <w:r>
        <w:tab/>
        <w:t xml:space="preserve">WHEREAS, the 2013 Lease Agreement </w:t>
      </w:r>
      <w:r w:rsidR="0028093E">
        <w:t>provides $486,000 of County operating support to the War Memorial for a ten-year period from 2014</w:t>
      </w:r>
      <w:r w:rsidR="00A71C95">
        <w:t xml:space="preserve"> to </w:t>
      </w:r>
      <w:r w:rsidR="0028093E">
        <w:t>2023; and</w:t>
      </w:r>
    </w:p>
    <w:p w:rsidR="0028093E" w:rsidRDefault="0028093E" w:rsidP="00106937">
      <w:pPr>
        <w:pStyle w:val="ListParagraph"/>
        <w:ind w:left="0"/>
      </w:pPr>
    </w:p>
    <w:p w:rsidR="0028093E" w:rsidRDefault="0028093E" w:rsidP="00106937">
      <w:pPr>
        <w:pStyle w:val="ListParagraph"/>
        <w:ind w:left="0"/>
      </w:pPr>
      <w:r>
        <w:tab/>
        <w:t>WHEREAS, the Agreement also pledged $10,000,000 of County funding towards Planned Capital Improvements to both the War Memorial and the Art Museum to address structural and maintenance deficiencies; and</w:t>
      </w:r>
    </w:p>
    <w:p w:rsidR="00052A98" w:rsidRDefault="00052A98" w:rsidP="00106937">
      <w:pPr>
        <w:pStyle w:val="ListParagraph"/>
        <w:ind w:left="0"/>
      </w:pPr>
    </w:p>
    <w:p w:rsidR="00052A98" w:rsidRDefault="00052A98" w:rsidP="00106937">
      <w:pPr>
        <w:pStyle w:val="ListParagraph"/>
        <w:ind w:left="0"/>
      </w:pPr>
      <w:r>
        <w:tab/>
        <w:t xml:space="preserve">WHEREAS, Milwaukee County adopted File No. 16-229 which included a new </w:t>
      </w:r>
      <w:r w:rsidR="00B332AF">
        <w:t xml:space="preserve">2017 </w:t>
      </w:r>
      <w:r>
        <w:t>Contribution Agreement, following the sale of O’Donnell Park; and</w:t>
      </w:r>
    </w:p>
    <w:p w:rsidR="00052A98" w:rsidRDefault="00052A98" w:rsidP="00106937">
      <w:pPr>
        <w:pStyle w:val="ListParagraph"/>
        <w:ind w:left="0"/>
      </w:pPr>
      <w:r>
        <w:tab/>
      </w:r>
    </w:p>
    <w:p w:rsidR="00052A98" w:rsidRDefault="00052A98" w:rsidP="00106937">
      <w:pPr>
        <w:pStyle w:val="ListParagraph"/>
        <w:ind w:left="0"/>
      </w:pPr>
      <w:r>
        <w:tab/>
        <w:t xml:space="preserve">WHEREAS, the </w:t>
      </w:r>
      <w:r w:rsidR="00B332AF">
        <w:t xml:space="preserve">2017 </w:t>
      </w:r>
      <w:r>
        <w:t>Contribution Agreement replaced the 2013 Lease Agreement, but retained the same financial contribution for the years 2014 to 2023 by providing funding to the War Memorial Center in an annual amount of $486,000 per year; and</w:t>
      </w:r>
    </w:p>
    <w:p w:rsidR="00052A98" w:rsidRDefault="00052A98" w:rsidP="009D1AAC">
      <w:pPr>
        <w:pStyle w:val="ListParagraph"/>
        <w:suppressLineNumbers/>
        <w:ind w:left="0"/>
      </w:pPr>
    </w:p>
    <w:p w:rsidR="00052A98" w:rsidRDefault="00052A98" w:rsidP="00106937">
      <w:pPr>
        <w:pStyle w:val="ListParagraph"/>
        <w:ind w:left="0"/>
      </w:pPr>
      <w:r>
        <w:lastRenderedPageBreak/>
        <w:tab/>
        <w:t>WHEREAS, the Contribution Agreement changed the financial contributions of the County to the War Memorial for the years 2024 to 2033, so that a total amount of $2,440,000 is payable according to the following schedule:</w:t>
      </w:r>
    </w:p>
    <w:p w:rsidR="00052A98" w:rsidRDefault="00052A98" w:rsidP="00A250F2">
      <w:pPr>
        <w:pStyle w:val="ListParagraph"/>
        <w:suppressLineNumbers/>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218"/>
        <w:gridCol w:w="776"/>
        <w:gridCol w:w="776"/>
        <w:gridCol w:w="1218"/>
      </w:tblGrid>
      <w:tr w:rsidR="00052A98" w:rsidTr="00052A98">
        <w:trPr>
          <w:trHeight w:val="367"/>
          <w:jc w:val="center"/>
        </w:trPr>
        <w:tc>
          <w:tcPr>
            <w:tcW w:w="618" w:type="dxa"/>
          </w:tcPr>
          <w:p w:rsidR="00052A98" w:rsidRPr="00052A98" w:rsidRDefault="00052A98" w:rsidP="00106937">
            <w:pPr>
              <w:pStyle w:val="ListParagraph"/>
              <w:ind w:left="0"/>
              <w:rPr>
                <w:b/>
              </w:rPr>
            </w:pPr>
            <w:r w:rsidRPr="00052A98">
              <w:rPr>
                <w:b/>
              </w:rPr>
              <w:t>2024</w:t>
            </w:r>
          </w:p>
        </w:tc>
        <w:tc>
          <w:tcPr>
            <w:tcW w:w="776" w:type="dxa"/>
          </w:tcPr>
          <w:p w:rsidR="00052A98" w:rsidRDefault="00052A98" w:rsidP="00106937">
            <w:pPr>
              <w:pStyle w:val="ListParagraph"/>
              <w:ind w:left="0"/>
            </w:pPr>
            <w:r>
              <w:t>$442,000</w:t>
            </w:r>
          </w:p>
        </w:tc>
        <w:tc>
          <w:tcPr>
            <w:tcW w:w="776" w:type="dxa"/>
          </w:tcPr>
          <w:p w:rsidR="00052A98" w:rsidRDefault="00052A98" w:rsidP="00106937">
            <w:pPr>
              <w:pStyle w:val="ListParagraph"/>
              <w:ind w:left="0"/>
            </w:pPr>
          </w:p>
        </w:tc>
        <w:tc>
          <w:tcPr>
            <w:tcW w:w="776" w:type="dxa"/>
          </w:tcPr>
          <w:p w:rsidR="00052A98" w:rsidRPr="00052A98" w:rsidRDefault="00052A98" w:rsidP="00106937">
            <w:pPr>
              <w:pStyle w:val="ListParagraph"/>
              <w:ind w:left="0"/>
              <w:rPr>
                <w:b/>
              </w:rPr>
            </w:pPr>
            <w:r w:rsidRPr="00052A98">
              <w:rPr>
                <w:b/>
              </w:rPr>
              <w:t>2029</w:t>
            </w:r>
          </w:p>
        </w:tc>
        <w:tc>
          <w:tcPr>
            <w:tcW w:w="776" w:type="dxa"/>
          </w:tcPr>
          <w:p w:rsidR="00052A98" w:rsidRDefault="00052A98" w:rsidP="00106937">
            <w:pPr>
              <w:pStyle w:val="ListParagraph"/>
              <w:ind w:left="0"/>
            </w:pPr>
            <w:r>
              <w:t>$222,000</w:t>
            </w:r>
          </w:p>
        </w:tc>
      </w:tr>
      <w:tr w:rsidR="00052A98" w:rsidTr="00052A98">
        <w:trPr>
          <w:trHeight w:val="355"/>
          <w:jc w:val="center"/>
        </w:trPr>
        <w:tc>
          <w:tcPr>
            <w:tcW w:w="618" w:type="dxa"/>
          </w:tcPr>
          <w:p w:rsidR="00052A98" w:rsidRPr="00052A98" w:rsidRDefault="00052A98" w:rsidP="00106937">
            <w:pPr>
              <w:pStyle w:val="ListParagraph"/>
              <w:ind w:left="0"/>
              <w:rPr>
                <w:b/>
              </w:rPr>
            </w:pPr>
            <w:r w:rsidRPr="00052A98">
              <w:rPr>
                <w:b/>
              </w:rPr>
              <w:t>2025</w:t>
            </w:r>
          </w:p>
        </w:tc>
        <w:tc>
          <w:tcPr>
            <w:tcW w:w="776" w:type="dxa"/>
          </w:tcPr>
          <w:p w:rsidR="00052A98" w:rsidRDefault="00052A98" w:rsidP="00106937">
            <w:pPr>
              <w:pStyle w:val="ListParagraph"/>
              <w:ind w:left="0"/>
            </w:pPr>
            <w:r>
              <w:t>$398,000</w:t>
            </w:r>
          </w:p>
        </w:tc>
        <w:tc>
          <w:tcPr>
            <w:tcW w:w="776" w:type="dxa"/>
          </w:tcPr>
          <w:p w:rsidR="00052A98" w:rsidRDefault="00052A98" w:rsidP="00106937">
            <w:pPr>
              <w:pStyle w:val="ListParagraph"/>
              <w:ind w:left="0"/>
            </w:pPr>
          </w:p>
        </w:tc>
        <w:tc>
          <w:tcPr>
            <w:tcW w:w="776" w:type="dxa"/>
          </w:tcPr>
          <w:p w:rsidR="00052A98" w:rsidRPr="00052A98" w:rsidRDefault="00052A98" w:rsidP="00106937">
            <w:pPr>
              <w:pStyle w:val="ListParagraph"/>
              <w:ind w:left="0"/>
              <w:rPr>
                <w:b/>
              </w:rPr>
            </w:pPr>
            <w:r w:rsidRPr="00052A98">
              <w:rPr>
                <w:b/>
              </w:rPr>
              <w:t>2030</w:t>
            </w:r>
          </w:p>
        </w:tc>
        <w:tc>
          <w:tcPr>
            <w:tcW w:w="776" w:type="dxa"/>
          </w:tcPr>
          <w:p w:rsidR="00052A98" w:rsidRDefault="00052A98" w:rsidP="00106937">
            <w:pPr>
              <w:pStyle w:val="ListParagraph"/>
              <w:ind w:left="0"/>
            </w:pPr>
            <w:r>
              <w:t>$178,000</w:t>
            </w:r>
          </w:p>
        </w:tc>
      </w:tr>
      <w:tr w:rsidR="00052A98" w:rsidTr="00052A98">
        <w:trPr>
          <w:trHeight w:val="367"/>
          <w:jc w:val="center"/>
        </w:trPr>
        <w:tc>
          <w:tcPr>
            <w:tcW w:w="618" w:type="dxa"/>
          </w:tcPr>
          <w:p w:rsidR="00052A98" w:rsidRPr="00052A98" w:rsidRDefault="00052A98" w:rsidP="00106937">
            <w:pPr>
              <w:pStyle w:val="ListParagraph"/>
              <w:ind w:left="0"/>
              <w:rPr>
                <w:b/>
              </w:rPr>
            </w:pPr>
            <w:r w:rsidRPr="00052A98">
              <w:rPr>
                <w:b/>
              </w:rPr>
              <w:t>2026</w:t>
            </w:r>
          </w:p>
        </w:tc>
        <w:tc>
          <w:tcPr>
            <w:tcW w:w="776" w:type="dxa"/>
          </w:tcPr>
          <w:p w:rsidR="00052A98" w:rsidRDefault="00052A98" w:rsidP="00106937">
            <w:pPr>
              <w:pStyle w:val="ListParagraph"/>
              <w:ind w:left="0"/>
            </w:pPr>
            <w:r>
              <w:t>$354,000</w:t>
            </w:r>
          </w:p>
        </w:tc>
        <w:tc>
          <w:tcPr>
            <w:tcW w:w="776" w:type="dxa"/>
          </w:tcPr>
          <w:p w:rsidR="00052A98" w:rsidRDefault="00052A98" w:rsidP="00106937">
            <w:pPr>
              <w:pStyle w:val="ListParagraph"/>
              <w:ind w:left="0"/>
            </w:pPr>
          </w:p>
        </w:tc>
        <w:tc>
          <w:tcPr>
            <w:tcW w:w="776" w:type="dxa"/>
          </w:tcPr>
          <w:p w:rsidR="00052A98" w:rsidRPr="00052A98" w:rsidRDefault="00052A98" w:rsidP="00106937">
            <w:pPr>
              <w:pStyle w:val="ListParagraph"/>
              <w:ind w:left="0"/>
              <w:rPr>
                <w:b/>
              </w:rPr>
            </w:pPr>
            <w:r w:rsidRPr="00052A98">
              <w:rPr>
                <w:b/>
              </w:rPr>
              <w:t>2031</w:t>
            </w:r>
          </w:p>
        </w:tc>
        <w:tc>
          <w:tcPr>
            <w:tcW w:w="776" w:type="dxa"/>
          </w:tcPr>
          <w:p w:rsidR="00052A98" w:rsidRDefault="00052A98" w:rsidP="00106937">
            <w:pPr>
              <w:pStyle w:val="ListParagraph"/>
              <w:ind w:left="0"/>
            </w:pPr>
            <w:r>
              <w:t>$134,000</w:t>
            </w:r>
          </w:p>
        </w:tc>
      </w:tr>
      <w:tr w:rsidR="00052A98" w:rsidTr="00052A98">
        <w:trPr>
          <w:trHeight w:val="355"/>
          <w:jc w:val="center"/>
        </w:trPr>
        <w:tc>
          <w:tcPr>
            <w:tcW w:w="618" w:type="dxa"/>
          </w:tcPr>
          <w:p w:rsidR="00052A98" w:rsidRPr="00052A98" w:rsidRDefault="00052A98" w:rsidP="00106937">
            <w:pPr>
              <w:pStyle w:val="ListParagraph"/>
              <w:ind w:left="0"/>
              <w:rPr>
                <w:b/>
              </w:rPr>
            </w:pPr>
            <w:r w:rsidRPr="00052A98">
              <w:rPr>
                <w:b/>
              </w:rPr>
              <w:t>2027</w:t>
            </w:r>
          </w:p>
        </w:tc>
        <w:tc>
          <w:tcPr>
            <w:tcW w:w="776" w:type="dxa"/>
          </w:tcPr>
          <w:p w:rsidR="00052A98" w:rsidRDefault="00052A98" w:rsidP="00106937">
            <w:pPr>
              <w:pStyle w:val="ListParagraph"/>
              <w:ind w:left="0"/>
            </w:pPr>
            <w:r>
              <w:t>$310,000</w:t>
            </w:r>
          </w:p>
        </w:tc>
        <w:tc>
          <w:tcPr>
            <w:tcW w:w="776" w:type="dxa"/>
          </w:tcPr>
          <w:p w:rsidR="00052A98" w:rsidRDefault="00052A98" w:rsidP="00106937">
            <w:pPr>
              <w:pStyle w:val="ListParagraph"/>
              <w:ind w:left="0"/>
            </w:pPr>
          </w:p>
        </w:tc>
        <w:tc>
          <w:tcPr>
            <w:tcW w:w="776" w:type="dxa"/>
          </w:tcPr>
          <w:p w:rsidR="00052A98" w:rsidRPr="00052A98" w:rsidRDefault="00052A98" w:rsidP="00106937">
            <w:pPr>
              <w:pStyle w:val="ListParagraph"/>
              <w:ind w:left="0"/>
              <w:rPr>
                <w:b/>
              </w:rPr>
            </w:pPr>
            <w:r w:rsidRPr="00052A98">
              <w:rPr>
                <w:b/>
              </w:rPr>
              <w:t>2032</w:t>
            </w:r>
          </w:p>
        </w:tc>
        <w:tc>
          <w:tcPr>
            <w:tcW w:w="776" w:type="dxa"/>
          </w:tcPr>
          <w:p w:rsidR="00052A98" w:rsidRDefault="00052A98" w:rsidP="00106937">
            <w:pPr>
              <w:pStyle w:val="ListParagraph"/>
              <w:ind w:left="0"/>
            </w:pPr>
            <w:r>
              <w:t>$90,000</w:t>
            </w:r>
          </w:p>
        </w:tc>
      </w:tr>
      <w:tr w:rsidR="00052A98" w:rsidTr="00052A98">
        <w:trPr>
          <w:trHeight w:val="367"/>
          <w:jc w:val="center"/>
        </w:trPr>
        <w:tc>
          <w:tcPr>
            <w:tcW w:w="618" w:type="dxa"/>
          </w:tcPr>
          <w:p w:rsidR="00052A98" w:rsidRPr="00052A98" w:rsidRDefault="00052A98" w:rsidP="00106937">
            <w:pPr>
              <w:pStyle w:val="ListParagraph"/>
              <w:ind w:left="0"/>
              <w:rPr>
                <w:b/>
              </w:rPr>
            </w:pPr>
            <w:r w:rsidRPr="00052A98">
              <w:rPr>
                <w:b/>
              </w:rPr>
              <w:t>2028</w:t>
            </w:r>
          </w:p>
        </w:tc>
        <w:tc>
          <w:tcPr>
            <w:tcW w:w="776" w:type="dxa"/>
          </w:tcPr>
          <w:p w:rsidR="00052A98" w:rsidRDefault="00052A98" w:rsidP="00106937">
            <w:pPr>
              <w:pStyle w:val="ListParagraph"/>
              <w:ind w:left="0"/>
            </w:pPr>
            <w:r>
              <w:t>$266,000</w:t>
            </w:r>
          </w:p>
        </w:tc>
        <w:tc>
          <w:tcPr>
            <w:tcW w:w="776" w:type="dxa"/>
          </w:tcPr>
          <w:p w:rsidR="00052A98" w:rsidRDefault="00052A98" w:rsidP="00106937">
            <w:pPr>
              <w:pStyle w:val="ListParagraph"/>
              <w:ind w:left="0"/>
            </w:pPr>
          </w:p>
        </w:tc>
        <w:tc>
          <w:tcPr>
            <w:tcW w:w="776" w:type="dxa"/>
          </w:tcPr>
          <w:p w:rsidR="00052A98" w:rsidRPr="00052A98" w:rsidRDefault="00052A98" w:rsidP="00106937">
            <w:pPr>
              <w:pStyle w:val="ListParagraph"/>
              <w:ind w:left="0"/>
              <w:rPr>
                <w:b/>
              </w:rPr>
            </w:pPr>
            <w:r w:rsidRPr="00052A98">
              <w:rPr>
                <w:b/>
              </w:rPr>
              <w:t>2033</w:t>
            </w:r>
          </w:p>
        </w:tc>
        <w:tc>
          <w:tcPr>
            <w:tcW w:w="776" w:type="dxa"/>
          </w:tcPr>
          <w:p w:rsidR="00052A98" w:rsidRDefault="00052A98" w:rsidP="00106937">
            <w:pPr>
              <w:pStyle w:val="ListParagraph"/>
              <w:ind w:left="0"/>
            </w:pPr>
            <w:r>
              <w:t>$46,000</w:t>
            </w:r>
          </w:p>
        </w:tc>
      </w:tr>
    </w:tbl>
    <w:p w:rsidR="0028093E" w:rsidRDefault="0028093E" w:rsidP="00A250F2">
      <w:pPr>
        <w:pStyle w:val="ListParagraph"/>
        <w:suppressLineNumbers/>
        <w:ind w:left="0"/>
      </w:pPr>
      <w:bookmarkStart w:id="0" w:name="_GoBack"/>
      <w:bookmarkEnd w:id="0"/>
    </w:p>
    <w:p w:rsidR="00662011" w:rsidRDefault="0028093E" w:rsidP="00106937">
      <w:pPr>
        <w:pStyle w:val="ListParagraph"/>
        <w:ind w:left="0"/>
      </w:pPr>
      <w:r>
        <w:tab/>
        <w:t>WHEREAS, the War Memorial provi</w:t>
      </w:r>
      <w:r w:rsidR="00662011">
        <w:t>d</w:t>
      </w:r>
      <w:r>
        <w:t>es valuable cultural and educational ac</w:t>
      </w:r>
      <w:r w:rsidR="00662011">
        <w:t>tivities for those who have served, their families, and the public; and</w:t>
      </w:r>
    </w:p>
    <w:p w:rsidR="00662011" w:rsidRDefault="00662011" w:rsidP="00106937">
      <w:pPr>
        <w:pStyle w:val="ListParagraph"/>
        <w:ind w:left="0"/>
      </w:pPr>
    </w:p>
    <w:p w:rsidR="00A71C95" w:rsidRDefault="00662011" w:rsidP="00106937">
      <w:pPr>
        <w:pStyle w:val="ListParagraph"/>
        <w:ind w:left="0"/>
      </w:pPr>
      <w:r>
        <w:tab/>
        <w:t>WHEREAS, their contributions to our community serve an honorable and distinguished population and should be protected through County operating investment</w:t>
      </w:r>
      <w:r w:rsidR="00A71C95">
        <w:t>; now, therefore,</w:t>
      </w:r>
    </w:p>
    <w:p w:rsidR="00A71C95" w:rsidRDefault="00A71C95" w:rsidP="00106937">
      <w:pPr>
        <w:pStyle w:val="ListParagraph"/>
        <w:ind w:left="0"/>
      </w:pPr>
    </w:p>
    <w:p w:rsidR="00A71C95" w:rsidRDefault="00A71C95" w:rsidP="00106937">
      <w:pPr>
        <w:pStyle w:val="ListParagraph"/>
        <w:ind w:left="0"/>
      </w:pPr>
      <w:r>
        <w:tab/>
        <w:t>BE IT RESOLVED, that the Milwaukee County Board of Supervisors endorses and supports the mission of the Milwaukee County War Memorial; and</w:t>
      </w:r>
    </w:p>
    <w:p w:rsidR="00A71C95" w:rsidRDefault="00A71C95" w:rsidP="00106937">
      <w:pPr>
        <w:pStyle w:val="ListParagraph"/>
        <w:ind w:left="0"/>
      </w:pPr>
    </w:p>
    <w:p w:rsidR="00A71C95" w:rsidRDefault="00A71C95" w:rsidP="00106937">
      <w:pPr>
        <w:pStyle w:val="ListParagraph"/>
        <w:ind w:left="0"/>
      </w:pPr>
      <w:r>
        <w:tab/>
        <w:t xml:space="preserve">BE IT FURTHER RESOLVED, that Milwaukee County </w:t>
      </w:r>
      <w:r w:rsidR="00052A98">
        <w:t xml:space="preserve">authorizes and directs the Director, Department of Administrative Services to amend the 2017 Contribution Agreement to </w:t>
      </w:r>
      <w:r>
        <w:t>increase its annual operating contribution to the Milwaukee County War Memorial from $486,000 to $700,000; and</w:t>
      </w:r>
    </w:p>
    <w:p w:rsidR="00A71C95" w:rsidRDefault="00A71C95" w:rsidP="00106937">
      <w:pPr>
        <w:pStyle w:val="ListParagraph"/>
        <w:ind w:left="0"/>
      </w:pPr>
    </w:p>
    <w:p w:rsidR="00A71C95" w:rsidRDefault="00A71C95" w:rsidP="00106937">
      <w:pPr>
        <w:pStyle w:val="ListParagraph"/>
        <w:ind w:left="0"/>
      </w:pPr>
      <w:r>
        <w:tab/>
        <w:t>BE IT FUTHER RESOLVED, that the new annual contribution shall go into effect beginning in 2020 and shall end in 2030; and</w:t>
      </w:r>
    </w:p>
    <w:p w:rsidR="009D1AAC" w:rsidRDefault="009D1AAC" w:rsidP="00106937">
      <w:pPr>
        <w:pStyle w:val="ListParagraph"/>
        <w:ind w:left="0"/>
      </w:pPr>
    </w:p>
    <w:p w:rsidR="009D1AAC" w:rsidRDefault="009D1AAC" w:rsidP="00106937">
      <w:pPr>
        <w:pStyle w:val="ListParagraph"/>
        <w:ind w:left="0"/>
      </w:pPr>
      <w:r>
        <w:tab/>
        <w:t xml:space="preserve">BE IT FURTHER RESOLVED, that Milwaukee County’s annual contribution to the Milwaukee County War Memorial shall cease after 2030; and </w:t>
      </w:r>
    </w:p>
    <w:p w:rsidR="00A71C95" w:rsidRDefault="00A71C95" w:rsidP="00106937">
      <w:pPr>
        <w:pStyle w:val="ListParagraph"/>
        <w:ind w:left="0"/>
      </w:pPr>
    </w:p>
    <w:p w:rsidR="00D4331A" w:rsidRPr="00D4331A" w:rsidRDefault="00A71C95" w:rsidP="00D4331A">
      <w:pPr>
        <w:pStyle w:val="ListParagraph"/>
        <w:ind w:left="0"/>
      </w:pPr>
      <w:r>
        <w:tab/>
        <w:t xml:space="preserve">BE IT FUTHER RESOLVED, that the Milwaukee County Board of Supervisors requests that the </w:t>
      </w:r>
      <w:r w:rsidR="00052A98">
        <w:t>2017 Contribution Agreement</w:t>
      </w:r>
      <w:r>
        <w:t xml:space="preserve"> be amended to reflect the increased financial contribution.</w:t>
      </w:r>
      <w:r w:rsidR="00662011">
        <w:t xml:space="preserve"> </w:t>
      </w:r>
    </w:p>
    <w:sectPr w:rsidR="00D4331A" w:rsidRPr="00D4331A" w:rsidSect="00B332AF">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43" w:rsidRDefault="00D87443">
      <w:r>
        <w:separator/>
      </w:r>
    </w:p>
  </w:endnote>
  <w:endnote w:type="continuationSeparator" w:id="0">
    <w:p w:rsidR="00D87443" w:rsidRDefault="00D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DF" w:rsidRDefault="00E650DF">
    <w:pPr>
      <w:spacing w:line="240" w:lineRule="exact"/>
    </w:pPr>
  </w:p>
  <w:p w:rsidR="00E650DF" w:rsidRDefault="00E650DF">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sidR="00A250F2">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43" w:rsidRDefault="00D87443">
      <w:r>
        <w:separator/>
      </w:r>
    </w:p>
  </w:footnote>
  <w:footnote w:type="continuationSeparator" w:id="0">
    <w:p w:rsidR="00D87443" w:rsidRDefault="00D87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20"/>
    <w:rsid w:val="00001524"/>
    <w:rsid w:val="0001189A"/>
    <w:rsid w:val="0002154F"/>
    <w:rsid w:val="0004187E"/>
    <w:rsid w:val="00052A98"/>
    <w:rsid w:val="00056A69"/>
    <w:rsid w:val="0007456D"/>
    <w:rsid w:val="00080AD6"/>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D5A05"/>
    <w:rsid w:val="001E6962"/>
    <w:rsid w:val="001F1DC5"/>
    <w:rsid w:val="00201F80"/>
    <w:rsid w:val="00206A0E"/>
    <w:rsid w:val="002076D2"/>
    <w:rsid w:val="002237BC"/>
    <w:rsid w:val="002362C4"/>
    <w:rsid w:val="0023644B"/>
    <w:rsid w:val="00252C03"/>
    <w:rsid w:val="0025591D"/>
    <w:rsid w:val="0025693B"/>
    <w:rsid w:val="00266C6C"/>
    <w:rsid w:val="002711EB"/>
    <w:rsid w:val="00273EE5"/>
    <w:rsid w:val="0028093E"/>
    <w:rsid w:val="00282B57"/>
    <w:rsid w:val="002839F3"/>
    <w:rsid w:val="00295F51"/>
    <w:rsid w:val="002A1977"/>
    <w:rsid w:val="002B06DA"/>
    <w:rsid w:val="002B358D"/>
    <w:rsid w:val="002B515F"/>
    <w:rsid w:val="002C661C"/>
    <w:rsid w:val="002D1813"/>
    <w:rsid w:val="002E3346"/>
    <w:rsid w:val="00305E7D"/>
    <w:rsid w:val="0031612E"/>
    <w:rsid w:val="00320132"/>
    <w:rsid w:val="00335ABA"/>
    <w:rsid w:val="00340D83"/>
    <w:rsid w:val="00344D68"/>
    <w:rsid w:val="003575ED"/>
    <w:rsid w:val="003606B9"/>
    <w:rsid w:val="0037025B"/>
    <w:rsid w:val="003850E2"/>
    <w:rsid w:val="0039092B"/>
    <w:rsid w:val="00393D76"/>
    <w:rsid w:val="00397813"/>
    <w:rsid w:val="003978A8"/>
    <w:rsid w:val="003B4AB8"/>
    <w:rsid w:val="003B6EFA"/>
    <w:rsid w:val="003C0946"/>
    <w:rsid w:val="003C484C"/>
    <w:rsid w:val="003D10FA"/>
    <w:rsid w:val="003D3897"/>
    <w:rsid w:val="003E0C44"/>
    <w:rsid w:val="003E4D6E"/>
    <w:rsid w:val="003E53FD"/>
    <w:rsid w:val="003F033A"/>
    <w:rsid w:val="003F7797"/>
    <w:rsid w:val="003F7E98"/>
    <w:rsid w:val="004134D8"/>
    <w:rsid w:val="00423434"/>
    <w:rsid w:val="00426382"/>
    <w:rsid w:val="00440117"/>
    <w:rsid w:val="004541A4"/>
    <w:rsid w:val="0046281E"/>
    <w:rsid w:val="00485468"/>
    <w:rsid w:val="00491424"/>
    <w:rsid w:val="0049167F"/>
    <w:rsid w:val="00496FB8"/>
    <w:rsid w:val="004C0424"/>
    <w:rsid w:val="004C7A11"/>
    <w:rsid w:val="004D14AA"/>
    <w:rsid w:val="0050091D"/>
    <w:rsid w:val="00507B6D"/>
    <w:rsid w:val="00517B1C"/>
    <w:rsid w:val="005203C8"/>
    <w:rsid w:val="00554FEA"/>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62011"/>
    <w:rsid w:val="00664D5A"/>
    <w:rsid w:val="006707D0"/>
    <w:rsid w:val="0068587C"/>
    <w:rsid w:val="00690CD3"/>
    <w:rsid w:val="006930B1"/>
    <w:rsid w:val="006A3172"/>
    <w:rsid w:val="006B28A6"/>
    <w:rsid w:val="006B4314"/>
    <w:rsid w:val="006B5ADC"/>
    <w:rsid w:val="006C7D5E"/>
    <w:rsid w:val="006D354B"/>
    <w:rsid w:val="006D7B79"/>
    <w:rsid w:val="006F4423"/>
    <w:rsid w:val="007018A6"/>
    <w:rsid w:val="00701EAA"/>
    <w:rsid w:val="00702AAB"/>
    <w:rsid w:val="007167CF"/>
    <w:rsid w:val="007328A4"/>
    <w:rsid w:val="0073772C"/>
    <w:rsid w:val="00750441"/>
    <w:rsid w:val="0075759C"/>
    <w:rsid w:val="007646D9"/>
    <w:rsid w:val="007649D8"/>
    <w:rsid w:val="007746D8"/>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F54"/>
    <w:rsid w:val="00971FBB"/>
    <w:rsid w:val="00972DB7"/>
    <w:rsid w:val="00977C7B"/>
    <w:rsid w:val="009A0EED"/>
    <w:rsid w:val="009A0FAA"/>
    <w:rsid w:val="009C021B"/>
    <w:rsid w:val="009C55D4"/>
    <w:rsid w:val="009D1AAC"/>
    <w:rsid w:val="009D2E56"/>
    <w:rsid w:val="009E281A"/>
    <w:rsid w:val="009F6170"/>
    <w:rsid w:val="009F6D73"/>
    <w:rsid w:val="00A0506A"/>
    <w:rsid w:val="00A137EA"/>
    <w:rsid w:val="00A20FAF"/>
    <w:rsid w:val="00A250F2"/>
    <w:rsid w:val="00A34671"/>
    <w:rsid w:val="00A407F2"/>
    <w:rsid w:val="00A5473E"/>
    <w:rsid w:val="00A570D6"/>
    <w:rsid w:val="00A6580F"/>
    <w:rsid w:val="00A66874"/>
    <w:rsid w:val="00A676B0"/>
    <w:rsid w:val="00A7061A"/>
    <w:rsid w:val="00A71C95"/>
    <w:rsid w:val="00A72BE8"/>
    <w:rsid w:val="00A77BE3"/>
    <w:rsid w:val="00A77EEF"/>
    <w:rsid w:val="00A86DB7"/>
    <w:rsid w:val="00A87598"/>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0D08"/>
    <w:rsid w:val="00B332AF"/>
    <w:rsid w:val="00B3335B"/>
    <w:rsid w:val="00B4764C"/>
    <w:rsid w:val="00B618AB"/>
    <w:rsid w:val="00B745B2"/>
    <w:rsid w:val="00B83884"/>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80247"/>
    <w:rsid w:val="00C8756A"/>
    <w:rsid w:val="00C8760A"/>
    <w:rsid w:val="00C93A7F"/>
    <w:rsid w:val="00C942F8"/>
    <w:rsid w:val="00CA3B93"/>
    <w:rsid w:val="00CB2D22"/>
    <w:rsid w:val="00CC2C19"/>
    <w:rsid w:val="00CD29C6"/>
    <w:rsid w:val="00CE147A"/>
    <w:rsid w:val="00CE4963"/>
    <w:rsid w:val="00CE7CE1"/>
    <w:rsid w:val="00CF6C0E"/>
    <w:rsid w:val="00D01441"/>
    <w:rsid w:val="00D17A15"/>
    <w:rsid w:val="00D3145E"/>
    <w:rsid w:val="00D4331A"/>
    <w:rsid w:val="00D44CF4"/>
    <w:rsid w:val="00D4736E"/>
    <w:rsid w:val="00D50FBE"/>
    <w:rsid w:val="00D54146"/>
    <w:rsid w:val="00D56863"/>
    <w:rsid w:val="00D62DA8"/>
    <w:rsid w:val="00D72EB8"/>
    <w:rsid w:val="00D7479E"/>
    <w:rsid w:val="00D766AD"/>
    <w:rsid w:val="00D87443"/>
    <w:rsid w:val="00D8751F"/>
    <w:rsid w:val="00D9120B"/>
    <w:rsid w:val="00D92C2F"/>
    <w:rsid w:val="00DA1675"/>
    <w:rsid w:val="00DA59A7"/>
    <w:rsid w:val="00DA6556"/>
    <w:rsid w:val="00DA7E01"/>
    <w:rsid w:val="00DB1394"/>
    <w:rsid w:val="00DB61CE"/>
    <w:rsid w:val="00DC5865"/>
    <w:rsid w:val="00DD7025"/>
    <w:rsid w:val="00DE290A"/>
    <w:rsid w:val="00DE5B9C"/>
    <w:rsid w:val="00DE7BA2"/>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D2720"/>
    <w:rsid w:val="00ED76D1"/>
    <w:rsid w:val="00EE0B50"/>
    <w:rsid w:val="00EF3132"/>
    <w:rsid w:val="00EF6BC7"/>
    <w:rsid w:val="00EF7326"/>
    <w:rsid w:val="00F02E3A"/>
    <w:rsid w:val="00F03768"/>
    <w:rsid w:val="00F10691"/>
    <w:rsid w:val="00F20E7C"/>
    <w:rsid w:val="00F20F39"/>
    <w:rsid w:val="00F309CD"/>
    <w:rsid w:val="00F5533C"/>
    <w:rsid w:val="00F602ED"/>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table" w:styleId="TableGrid">
    <w:name w:val="Table Grid"/>
    <w:basedOn w:val="TableNormal"/>
    <w:uiPriority w:val="59"/>
    <w:rsid w:val="0005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206</TotalTime>
  <Pages>2</Pages>
  <Words>504</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12</cp:revision>
  <cp:lastPrinted>2017-09-06T21:36:00Z</cp:lastPrinted>
  <dcterms:created xsi:type="dcterms:W3CDTF">2019-08-22T13:53:00Z</dcterms:created>
  <dcterms:modified xsi:type="dcterms:W3CDTF">2019-09-04T22:03:00Z</dcterms:modified>
</cp:coreProperties>
</file>