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781DC2C0"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EE7F69">
        <w:rPr>
          <w:rFonts w:ascii="Arial" w:hAnsi="Arial" w:cs="Arial"/>
          <w:szCs w:val="24"/>
        </w:rPr>
        <w:t>1</w:t>
      </w:r>
      <w:r w:rsidR="00582927">
        <w:rPr>
          <w:rFonts w:ascii="Arial" w:hAnsi="Arial" w:cs="Arial"/>
          <w:szCs w:val="24"/>
        </w:rPr>
        <w:t>9</w:t>
      </w:r>
      <w:r w:rsidR="001C6D4D" w:rsidRPr="001C6D4D">
        <w:rPr>
          <w:rFonts w:ascii="Arial" w:hAnsi="Arial" w:cs="Arial"/>
          <w:szCs w:val="24"/>
        </w:rPr>
        <w:t>-</w:t>
      </w:r>
    </w:p>
    <w:p w14:paraId="37A7FFBD"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 )</w:t>
      </w:r>
    </w:p>
    <w:p w14:paraId="37A7FFBE" w14:textId="77777777" w:rsidR="00CC49CB" w:rsidRPr="001C6D4D" w:rsidRDefault="00CC49CB">
      <w:pPr>
        <w:widowControl w:val="0"/>
        <w:rPr>
          <w:rFonts w:ascii="Arial" w:hAnsi="Arial" w:cs="Arial"/>
          <w:snapToGrid w:val="0"/>
          <w:sz w:val="24"/>
          <w:szCs w:val="24"/>
        </w:rPr>
      </w:pPr>
    </w:p>
    <w:p w14:paraId="37A7FFBF" w14:textId="3ED66C7E"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  From the Director of </w:t>
      </w:r>
      <w:r w:rsidR="00BA6E42">
        <w:rPr>
          <w:rFonts w:ascii="Arial" w:hAnsi="Arial" w:cs="Arial"/>
          <w:snapToGrid w:val="0"/>
          <w:sz w:val="24"/>
          <w:szCs w:val="24"/>
        </w:rPr>
        <w:t>the Department of Parks, Recreation and Culture</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w:t>
      </w:r>
      <w:r w:rsidR="009B545E">
        <w:rPr>
          <w:rFonts w:ascii="Arial" w:hAnsi="Arial" w:cs="Arial"/>
          <w:snapToGrid w:val="0"/>
          <w:sz w:val="24"/>
          <w:szCs w:val="24"/>
        </w:rPr>
        <w:t>o grant WE Energies a Permanent Easement for an underground electric cable within the Honey Creek Parkway</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7FA711DD" w:rsidR="00701A37" w:rsidRDefault="00F72DEE" w:rsidP="00701A37">
      <w:pPr>
        <w:pStyle w:val="ListParagraph"/>
        <w:ind w:left="0"/>
      </w:pPr>
      <w:r w:rsidRPr="00CA0A0E">
        <w:rPr>
          <w:snapToGrid w:val="0"/>
        </w:rPr>
        <w:tab/>
        <w:t>WHEREAS,</w:t>
      </w:r>
      <w:r>
        <w:rPr>
          <w:snapToGrid w:val="0"/>
        </w:rPr>
        <w:t xml:space="preserve"> </w:t>
      </w:r>
      <w:r w:rsidR="00BA6E42">
        <w:t>WE Energies received a request from WLHS Apartments, LLC, owner of the property at the southwest corner of Honey Creek Parkway and Bluemound Road for electric service to its new development;</w:t>
      </w:r>
      <w:r w:rsidR="00B44751">
        <w:t xml:space="preserve"> and</w:t>
      </w:r>
      <w:r w:rsidR="00701A37" w:rsidRPr="00701A37">
        <w:t xml:space="preserve"> </w:t>
      </w:r>
    </w:p>
    <w:p w14:paraId="47654737" w14:textId="7D671BEF" w:rsidR="00BA6E42" w:rsidRDefault="00BA6E42" w:rsidP="00701A37">
      <w:pPr>
        <w:pStyle w:val="ListParagraph"/>
        <w:ind w:left="0"/>
      </w:pPr>
    </w:p>
    <w:p w14:paraId="77A79083" w14:textId="172D88A9" w:rsidR="00BA6E42" w:rsidRDefault="00BA6E42" w:rsidP="00701A37">
      <w:pPr>
        <w:pStyle w:val="ListParagraph"/>
        <w:ind w:left="0"/>
      </w:pPr>
      <w:r>
        <w:tab/>
        <w:t xml:space="preserve">WHEREAS, after reviewing the site plan and considering all existing conflicts WE Energies determined </w:t>
      </w:r>
      <w:r w:rsidR="009B545E">
        <w:t>the best route to run the underground electric cable is along the west side of Honey Creek Parkway; and</w:t>
      </w:r>
      <w:r>
        <w:t xml:space="preserve"> </w:t>
      </w:r>
    </w:p>
    <w:p w14:paraId="37A7FFC4" w14:textId="77777777" w:rsidR="00B44751" w:rsidRDefault="00B44751" w:rsidP="00701A37">
      <w:pPr>
        <w:pStyle w:val="ListParagraph"/>
        <w:ind w:left="0"/>
      </w:pPr>
    </w:p>
    <w:p w14:paraId="4DD81623" w14:textId="6D8F426B"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sz w:val="24"/>
          <w:szCs w:val="24"/>
        </w:rPr>
        <w:tab/>
        <w:t xml:space="preserve">WHEREAS, </w:t>
      </w:r>
      <w:r w:rsidR="009B545E">
        <w:rPr>
          <w:rFonts w:ascii="Arial" w:hAnsi="Arial" w:cs="Arial"/>
          <w:sz w:val="24"/>
          <w:szCs w:val="24"/>
        </w:rPr>
        <w:t>the estimated area of disturbance during construction is approximately 75 square feet and the proposed final easement acreage is .062 acre</w:t>
      </w:r>
      <w:r>
        <w:rPr>
          <w:rFonts w:ascii="Arial" w:hAnsi="Arial" w:cs="Arial"/>
          <w:sz w:val="24"/>
          <w:szCs w:val="24"/>
        </w:rPr>
        <w:t xml:space="preserve">; </w:t>
      </w:r>
      <w:r>
        <w:rPr>
          <w:rFonts w:ascii="Arial" w:hAnsi="Arial" w:cs="Arial"/>
          <w:color w:val="000000"/>
          <w:sz w:val="24"/>
          <w:szCs w:val="24"/>
        </w:rPr>
        <w:t>and</w:t>
      </w:r>
    </w:p>
    <w:p w14:paraId="75D61CD8"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321D8C65" w14:textId="5A4BDFD9" w:rsidR="00BA6E42" w:rsidRDefault="00BA6E42" w:rsidP="004242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24"/>
          <w:szCs w:val="24"/>
        </w:rPr>
      </w:pPr>
      <w:r>
        <w:rPr>
          <w:rFonts w:ascii="Arial" w:hAnsi="Arial" w:cs="Arial"/>
          <w:color w:val="000000"/>
          <w:sz w:val="24"/>
          <w:szCs w:val="24"/>
        </w:rPr>
        <w:tab/>
        <w:t>WHEREAS,</w:t>
      </w:r>
      <w:r>
        <w:rPr>
          <w:rFonts w:ascii="Arial" w:hAnsi="Arial" w:cs="Arial"/>
          <w:sz w:val="24"/>
          <w:szCs w:val="24"/>
        </w:rPr>
        <w:t xml:space="preserve"> WE Energies has requested that Milwaukee County grant a permanent easement to allow for the construction, operation, and maintenance of the underground electric cable</w:t>
      </w:r>
      <w:r w:rsidR="009B545E">
        <w:rPr>
          <w:rFonts w:ascii="Arial" w:hAnsi="Arial" w:cs="Arial"/>
          <w:sz w:val="24"/>
          <w:szCs w:val="24"/>
        </w:rPr>
        <w:t xml:space="preserve"> and is offering a one-time payment of $1,000 as compensation based on comparable land values</w:t>
      </w:r>
      <w:r>
        <w:rPr>
          <w:rFonts w:ascii="Arial" w:hAnsi="Arial" w:cs="Arial"/>
          <w:sz w:val="24"/>
          <w:szCs w:val="24"/>
        </w:rPr>
        <w:t xml:space="preserve">; </w:t>
      </w:r>
      <w:r>
        <w:rPr>
          <w:rFonts w:ascii="Arial" w:hAnsi="Arial" w:cs="Arial"/>
          <w:color w:val="000000"/>
          <w:sz w:val="24"/>
          <w:szCs w:val="24"/>
        </w:rPr>
        <w:t>and</w:t>
      </w:r>
    </w:p>
    <w:p w14:paraId="69435967"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ab/>
      </w:r>
    </w:p>
    <w:p w14:paraId="07E47048" w14:textId="207D8446" w:rsidR="00582927"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Pr>
          <w:rFonts w:ascii="Arial" w:hAnsi="Arial" w:cs="Arial"/>
          <w:color w:val="000000"/>
          <w:sz w:val="24"/>
          <w:szCs w:val="24"/>
        </w:rPr>
        <w:tab/>
        <w:t>WHEREAS</w:t>
      </w:r>
      <w:r>
        <w:rPr>
          <w:rFonts w:ascii="Arial" w:hAnsi="Arial" w:cs="Arial"/>
          <w:sz w:val="24"/>
          <w:szCs w:val="24"/>
        </w:rPr>
        <w:t>, the Parks Director recommends that WE Energies be granted a permanent easement for the construction, operation</w:t>
      </w:r>
      <w:r w:rsidR="009B545E">
        <w:rPr>
          <w:rFonts w:ascii="Arial" w:hAnsi="Arial" w:cs="Arial"/>
          <w:sz w:val="24"/>
          <w:szCs w:val="24"/>
        </w:rPr>
        <w:t>,</w:t>
      </w:r>
      <w:r>
        <w:rPr>
          <w:rFonts w:ascii="Arial" w:hAnsi="Arial" w:cs="Arial"/>
          <w:sz w:val="24"/>
          <w:szCs w:val="24"/>
        </w:rPr>
        <w:t xml:space="preserve"> and maintenance of underground </w:t>
      </w:r>
      <w:r w:rsidR="009B545E">
        <w:rPr>
          <w:rFonts w:ascii="Arial" w:hAnsi="Arial" w:cs="Arial"/>
          <w:sz w:val="24"/>
          <w:szCs w:val="24"/>
        </w:rPr>
        <w:t>electric service</w:t>
      </w:r>
      <w:r>
        <w:rPr>
          <w:rFonts w:ascii="Arial" w:hAnsi="Arial" w:cs="Arial"/>
          <w:sz w:val="24"/>
          <w:szCs w:val="24"/>
        </w:rPr>
        <w:t xml:space="preserve"> and related improvements at </w:t>
      </w:r>
      <w:r w:rsidR="009B545E">
        <w:rPr>
          <w:rFonts w:ascii="Arial" w:hAnsi="Arial" w:cs="Arial"/>
          <w:sz w:val="24"/>
          <w:szCs w:val="24"/>
        </w:rPr>
        <w:t>Honey Creek Parkway</w:t>
      </w:r>
      <w:r>
        <w:rPr>
          <w:rFonts w:ascii="Arial" w:hAnsi="Arial" w:cs="Arial"/>
          <w:sz w:val="24"/>
          <w:szCs w:val="24"/>
        </w:rPr>
        <w:t>;</w:t>
      </w:r>
      <w:r w:rsidR="009B545E">
        <w:rPr>
          <w:rFonts w:ascii="Arial" w:hAnsi="Arial" w:cs="Arial"/>
          <w:sz w:val="24"/>
          <w:szCs w:val="24"/>
        </w:rPr>
        <w:t xml:space="preserve"> </w:t>
      </w:r>
      <w:r w:rsidR="00582927">
        <w:rPr>
          <w:rFonts w:ascii="Arial" w:hAnsi="Arial" w:cs="Arial"/>
          <w:sz w:val="24"/>
          <w:szCs w:val="24"/>
        </w:rPr>
        <w:t>and</w:t>
      </w:r>
    </w:p>
    <w:p w14:paraId="6ECD3A12" w14:textId="77777777" w:rsidR="00582927" w:rsidRDefault="00582927"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57C9B303" w14:textId="6293214F" w:rsidR="00BA6E42" w:rsidRDefault="00582927"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sz w:val="24"/>
          <w:szCs w:val="24"/>
        </w:rPr>
        <w:tab/>
      </w:r>
      <w:r w:rsidRPr="00582927">
        <w:rPr>
          <w:rFonts w:ascii="Arial" w:hAnsi="Arial" w:cs="Arial"/>
          <w:sz w:val="24"/>
          <w:szCs w:val="24"/>
        </w:rPr>
        <w:t xml:space="preserve">WHEREAS, the Parks Director has recommended that the authority to prepare, review, approve, execute and record all documents as required to execute the </w:t>
      </w:r>
      <w:r>
        <w:rPr>
          <w:rFonts w:ascii="Arial" w:hAnsi="Arial" w:cs="Arial"/>
          <w:sz w:val="24"/>
          <w:szCs w:val="24"/>
        </w:rPr>
        <w:t xml:space="preserve">attached underground electrical </w:t>
      </w:r>
      <w:r w:rsidRPr="00582927">
        <w:rPr>
          <w:rFonts w:ascii="Arial" w:hAnsi="Arial" w:cs="Arial"/>
          <w:sz w:val="24"/>
          <w:szCs w:val="24"/>
        </w:rPr>
        <w:t>easement be granted to the Department of Parks, Recreation and Culture, the Department of Administrative Services, Corporation Counsel, Risk Management, County Clerk, Register of Deeds, and the County Executive; now, therefore,</w:t>
      </w:r>
    </w:p>
    <w:p w14:paraId="6FE557D3" w14:textId="77777777" w:rsidR="00BA6E42" w:rsidRDefault="00BA6E42" w:rsidP="00BA6E42">
      <w:pPr>
        <w:pStyle w:val="WPDefaults"/>
        <w:tabs>
          <w:tab w:val="left" w:pos="1260"/>
        </w:tabs>
        <w:rPr>
          <w:rFonts w:ascii="Arial" w:hAnsi="Arial" w:cs="Arial"/>
          <w:szCs w:val="24"/>
        </w:rPr>
      </w:pPr>
    </w:p>
    <w:p w14:paraId="2FE9D989" w14:textId="07D79540" w:rsidR="00BA6E42" w:rsidRDefault="00BA6E42" w:rsidP="009B545E">
      <w:pPr>
        <w:pStyle w:val="WPDefaults"/>
        <w:tabs>
          <w:tab w:val="left" w:pos="1260"/>
        </w:tabs>
        <w:rPr>
          <w:rFonts w:ascii="Arial" w:hAnsi="Arial" w:cs="Arial"/>
          <w:szCs w:val="24"/>
        </w:rPr>
      </w:pPr>
      <w:r>
        <w:rPr>
          <w:rFonts w:ascii="Arial" w:hAnsi="Arial" w:cs="Arial"/>
          <w:szCs w:val="24"/>
        </w:rPr>
        <w:tab/>
        <w:t xml:space="preserve">BE IT RESOLVED, that the Milwaukee County Board of Supervisors hereby authorizes the Parks Director, the Department of Administrative Services, the Register of Deeds, Corporation Counsel and Risk Management to prepare, review, approve, execute and record all documents, and take all actions as required to grant WE Energies the required permanent easement for the construction, operation and maintenance of the attached </w:t>
      </w:r>
      <w:r w:rsidR="009B545E">
        <w:rPr>
          <w:rFonts w:ascii="Arial" w:hAnsi="Arial" w:cs="Arial"/>
          <w:szCs w:val="24"/>
        </w:rPr>
        <w:t>underground electric cable</w:t>
      </w:r>
      <w:r>
        <w:rPr>
          <w:rFonts w:ascii="Arial" w:hAnsi="Arial" w:cs="Arial"/>
          <w:szCs w:val="24"/>
        </w:rPr>
        <w:t xml:space="preserve"> and related improvements at </w:t>
      </w:r>
      <w:r w:rsidR="009B545E">
        <w:rPr>
          <w:rFonts w:ascii="Arial" w:hAnsi="Arial" w:cs="Arial"/>
          <w:szCs w:val="24"/>
        </w:rPr>
        <w:t>Honey Creek Parkway</w:t>
      </w:r>
      <w:r>
        <w:rPr>
          <w:rFonts w:ascii="Arial" w:hAnsi="Arial" w:cs="Arial"/>
          <w:szCs w:val="24"/>
        </w:rPr>
        <w:t>; and</w:t>
      </w:r>
    </w:p>
    <w:p w14:paraId="74857F6E" w14:textId="21A71317" w:rsidR="00582927" w:rsidRDefault="00582927" w:rsidP="009B545E">
      <w:pPr>
        <w:pStyle w:val="WPDefaults"/>
        <w:tabs>
          <w:tab w:val="left" w:pos="1260"/>
        </w:tabs>
        <w:rPr>
          <w:rFonts w:ascii="Arial" w:hAnsi="Arial" w:cs="Arial"/>
          <w:szCs w:val="24"/>
        </w:rPr>
      </w:pPr>
    </w:p>
    <w:p w14:paraId="21941D2B" w14:textId="19B8BBC7" w:rsidR="00582927" w:rsidRDefault="00582927" w:rsidP="009B545E">
      <w:pPr>
        <w:pStyle w:val="WPDefaults"/>
        <w:tabs>
          <w:tab w:val="left" w:pos="1260"/>
        </w:tabs>
        <w:rPr>
          <w:rFonts w:ascii="Arial" w:hAnsi="Arial" w:cs="Arial"/>
          <w:szCs w:val="24"/>
        </w:rPr>
      </w:pPr>
      <w:r>
        <w:rPr>
          <w:rFonts w:ascii="Arial" w:hAnsi="Arial" w:cs="Arial"/>
          <w:szCs w:val="24"/>
        </w:rPr>
        <w:lastRenderedPageBreak/>
        <w:tab/>
        <w:t>BE IT FURTHER RESOLVED, that WE Energies will pay a one-time payment of $1,000 as compensation for the easement; and</w:t>
      </w:r>
    </w:p>
    <w:p w14:paraId="394B28F9"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41B6BC93" w14:textId="26CEA4AF" w:rsidR="0052217C" w:rsidRPr="009B545E" w:rsidRDefault="00BA6E42" w:rsidP="009B545E">
      <w:pPr>
        <w:pStyle w:val="resolution"/>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Cs w:val="24"/>
        </w:rPr>
      </w:pPr>
      <w:r>
        <w:rPr>
          <w:rFonts w:ascii="Arial" w:hAnsi="Arial" w:cs="Arial"/>
          <w:szCs w:val="24"/>
        </w:rPr>
        <w:tab/>
        <w:t>BE IT FURTHER RESOLVED, that the County Executive and County Clerk are authorized to execute the easement and other required documents.</w:t>
      </w:r>
    </w:p>
    <w:sectPr w:rsidR="0052217C" w:rsidRPr="009B545E"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0643" w14:textId="77777777" w:rsidR="007B6072" w:rsidRDefault="007B6072">
      <w:r>
        <w:separator/>
      </w:r>
    </w:p>
  </w:endnote>
  <w:endnote w:type="continuationSeparator" w:id="0">
    <w:p w14:paraId="0FE30970" w14:textId="77777777" w:rsidR="007B6072" w:rsidRDefault="007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F14C" w14:textId="77777777" w:rsidR="007B6072" w:rsidRDefault="007B6072">
      <w:r>
        <w:separator/>
      </w:r>
    </w:p>
  </w:footnote>
  <w:footnote w:type="continuationSeparator" w:id="0">
    <w:p w14:paraId="0AFC9C0E" w14:textId="77777777" w:rsidR="007B6072" w:rsidRDefault="007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C6D4D"/>
    <w:rsid w:val="001E0F69"/>
    <w:rsid w:val="00200C7C"/>
    <w:rsid w:val="002161D7"/>
    <w:rsid w:val="00271B7F"/>
    <w:rsid w:val="002858F1"/>
    <w:rsid w:val="00294825"/>
    <w:rsid w:val="002A556F"/>
    <w:rsid w:val="002D2B7F"/>
    <w:rsid w:val="003667A4"/>
    <w:rsid w:val="003C3352"/>
    <w:rsid w:val="003D2573"/>
    <w:rsid w:val="00406F80"/>
    <w:rsid w:val="004242D5"/>
    <w:rsid w:val="004A2108"/>
    <w:rsid w:val="004A3687"/>
    <w:rsid w:val="00512D82"/>
    <w:rsid w:val="0052217C"/>
    <w:rsid w:val="0055593E"/>
    <w:rsid w:val="005564C8"/>
    <w:rsid w:val="00582927"/>
    <w:rsid w:val="00587BBE"/>
    <w:rsid w:val="0059224D"/>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9B545E"/>
    <w:rsid w:val="00A46F99"/>
    <w:rsid w:val="00A7044F"/>
    <w:rsid w:val="00AB3A1A"/>
    <w:rsid w:val="00AC39ED"/>
    <w:rsid w:val="00AD37C6"/>
    <w:rsid w:val="00B44751"/>
    <w:rsid w:val="00B72213"/>
    <w:rsid w:val="00BA6E42"/>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72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paragraph" w:customStyle="1" w:styleId="WPDefaults">
    <w:name w:val="WP Defaults"/>
    <w:rsid w:val="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customStyle="1" w:styleId="resolution">
    <w:name w:val="resolution"/>
    <w:basedOn w:val="Normal"/>
    <w:rsid w:val="00BA6E42"/>
    <w:pPr>
      <w:tabs>
        <w:tab w:val="left" w:pos="720"/>
        <w:tab w:val="left" w:pos="2160"/>
        <w:tab w:val="right" w:pos="8640"/>
      </w:tabs>
      <w:spacing w:after="240"/>
    </w:pPr>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2</cp:revision>
  <cp:lastPrinted>2016-02-18T16:54:00Z</cp:lastPrinted>
  <dcterms:created xsi:type="dcterms:W3CDTF">2019-08-12T17:27:00Z</dcterms:created>
  <dcterms:modified xsi:type="dcterms:W3CDTF">2019-08-12T17:27:00Z</dcterms:modified>
</cp:coreProperties>
</file>