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0F91" w14:textId="0EFAC3D9"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906300">
        <w:t xml:space="preserve"> Taylor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3D10FA">
        <w:t xml:space="preserve">File No. </w:t>
      </w:r>
      <w:r w:rsidR="00AB5C63">
        <w:t>19</w:t>
      </w:r>
      <w:r w:rsidR="00E5619C">
        <w:t>-</w:t>
      </w:r>
      <w:r w:rsidR="006C66ED">
        <w:t>631</w:t>
      </w:r>
      <w:bookmarkStart w:id="0" w:name="_GoBack"/>
      <w:bookmarkEnd w:id="0"/>
    </w:p>
    <w:p w14:paraId="0A3D09D7" w14:textId="77777777" w:rsidR="00C1261F" w:rsidRDefault="00C1261F" w:rsidP="00C1261F">
      <w:pPr>
        <w:pStyle w:val="ListParagraph"/>
        <w:ind w:left="0"/>
        <w:jc w:val="center"/>
        <w:rPr>
          <w:b/>
        </w:rPr>
      </w:pPr>
    </w:p>
    <w:p w14:paraId="62AF409D" w14:textId="77777777" w:rsidR="00906300" w:rsidRPr="00DB61CE" w:rsidRDefault="00906300" w:rsidP="00C1261F">
      <w:pPr>
        <w:pStyle w:val="ListParagraph"/>
        <w:ind w:left="0"/>
        <w:jc w:val="center"/>
        <w:rPr>
          <w:b/>
        </w:rPr>
      </w:pPr>
    </w:p>
    <w:p w14:paraId="784EBA1F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7F473776" w14:textId="77777777" w:rsidR="00906300" w:rsidRDefault="00906300" w:rsidP="005A4159">
      <w:pPr>
        <w:pStyle w:val="ListParagraph"/>
        <w:ind w:left="0"/>
        <w:jc w:val="center"/>
        <w:rPr>
          <w:b/>
        </w:rPr>
      </w:pPr>
    </w:p>
    <w:p w14:paraId="6A27A1FA" w14:textId="39DC7EE7" w:rsidR="00106937" w:rsidRDefault="00906300" w:rsidP="00195CA4">
      <w:pPr>
        <w:pStyle w:val="ListParagraph"/>
        <w:ind w:left="0"/>
        <w:jc w:val="center"/>
      </w:pPr>
      <w:r>
        <w:t>In support of</w:t>
      </w:r>
      <w:r w:rsidR="000B428A">
        <w:t xml:space="preserve"> </w:t>
      </w:r>
      <w:r w:rsidR="00EB309A">
        <w:t xml:space="preserve">Wisconsin </w:t>
      </w:r>
      <w:r w:rsidR="000B428A">
        <w:t>draft Legislative Reference Bureau (LRB) Bill 1522/P1 that</w:t>
      </w:r>
      <w:r>
        <w:t xml:space="preserve"> seeks to restore voting rights to people on probation and parole and decrease felony disenfranchisement in the State of Wisconsin</w:t>
      </w:r>
    </w:p>
    <w:p w14:paraId="0D7DD442" w14:textId="77777777" w:rsidR="00195CA4" w:rsidRDefault="00195CA4" w:rsidP="00195CA4">
      <w:pPr>
        <w:pStyle w:val="ListParagraph"/>
        <w:ind w:left="0"/>
        <w:jc w:val="center"/>
      </w:pPr>
    </w:p>
    <w:p w14:paraId="2F4492B0" w14:textId="77777777" w:rsidR="00195CA4" w:rsidRDefault="00195CA4" w:rsidP="00195CA4">
      <w:pPr>
        <w:pStyle w:val="ListParagraph"/>
        <w:ind w:left="0"/>
        <w:jc w:val="center"/>
      </w:pPr>
    </w:p>
    <w:p w14:paraId="74BC31F1" w14:textId="77777777" w:rsidR="00195CA4" w:rsidRDefault="00195CA4" w:rsidP="00195CA4">
      <w:pPr>
        <w:pStyle w:val="ListParagraph"/>
        <w:ind w:left="0"/>
      </w:pPr>
      <w:r>
        <w:tab/>
        <w:t xml:space="preserve">WHEREAS, </w:t>
      </w:r>
      <w:r w:rsidR="00D27BBD">
        <w:t xml:space="preserve">felony disenfranchisement is defined as </w:t>
      </w:r>
      <w:r w:rsidR="00615B49">
        <w:t>the loss of</w:t>
      </w:r>
      <w:r w:rsidR="001F6D9C">
        <w:t xml:space="preserve"> a</w:t>
      </w:r>
      <w:r w:rsidR="00615B49">
        <w:t xml:space="preserve"> </w:t>
      </w:r>
      <w:r w:rsidR="00E6000E">
        <w:t>person’s</w:t>
      </w:r>
      <w:r w:rsidR="00615B49">
        <w:t xml:space="preserve"> voting rights due to a felony conviction; and</w:t>
      </w:r>
    </w:p>
    <w:p w14:paraId="72D4D9BE" w14:textId="77777777" w:rsidR="0063311F" w:rsidRDefault="0063311F" w:rsidP="00195CA4">
      <w:pPr>
        <w:pStyle w:val="ListParagraph"/>
        <w:ind w:left="0"/>
      </w:pPr>
    </w:p>
    <w:p w14:paraId="6AB23D24" w14:textId="77777777" w:rsidR="0063311F" w:rsidRDefault="0063311F" w:rsidP="00195CA4">
      <w:pPr>
        <w:pStyle w:val="ListParagraph"/>
        <w:ind w:left="0"/>
      </w:pPr>
      <w:r>
        <w:tab/>
        <w:t xml:space="preserve">WHEREAS, in the state of Wisconsin </w:t>
      </w:r>
      <w:r w:rsidR="00E6000E">
        <w:t>a person is not eligible to vote if they have been convicted of a felony and currently serving any portion of their sentence including extended supervision, probation and or parole; and</w:t>
      </w:r>
      <w:r>
        <w:t xml:space="preserve"> </w:t>
      </w:r>
    </w:p>
    <w:p w14:paraId="52E0764D" w14:textId="77777777" w:rsidR="00742930" w:rsidRDefault="00742930" w:rsidP="00195CA4">
      <w:pPr>
        <w:pStyle w:val="ListParagraph"/>
        <w:ind w:left="0"/>
      </w:pPr>
    </w:p>
    <w:p w14:paraId="08275B37" w14:textId="5159ABA4" w:rsidR="007A5EF5" w:rsidRDefault="00742930" w:rsidP="00195CA4">
      <w:pPr>
        <w:pStyle w:val="ListParagraph"/>
        <w:ind w:left="0"/>
      </w:pPr>
      <w:r>
        <w:tab/>
        <w:t>WHEREAS, rates of disenfranchisement v</w:t>
      </w:r>
      <w:r w:rsidR="001D362A">
        <w:t>a</w:t>
      </w:r>
      <w:r>
        <w:t>ry drastically by state due to broad variations in voting prohibitions</w:t>
      </w:r>
      <w:r w:rsidR="007A5EF5">
        <w:t>;</w:t>
      </w:r>
      <w:r w:rsidR="009E733A">
        <w:t xml:space="preserve"> </w:t>
      </w:r>
      <w:r w:rsidR="007A5EF5">
        <w:t>and</w:t>
      </w:r>
    </w:p>
    <w:p w14:paraId="68E30E64" w14:textId="77777777" w:rsidR="007A5EF5" w:rsidRDefault="007A5EF5" w:rsidP="00195CA4">
      <w:pPr>
        <w:pStyle w:val="ListParagraph"/>
        <w:ind w:left="0"/>
      </w:pPr>
    </w:p>
    <w:p w14:paraId="69AC021E" w14:textId="268BF3CA" w:rsidR="00742930" w:rsidRDefault="007A5EF5" w:rsidP="00B66352">
      <w:pPr>
        <w:pStyle w:val="ListParagraph"/>
        <w:ind w:left="0" w:firstLine="720"/>
      </w:pPr>
      <w:r>
        <w:t>WHEREAS,</w:t>
      </w:r>
      <w:r w:rsidR="001E072C">
        <w:t xml:space="preserve"> as reported by The Sentencing Project</w:t>
      </w:r>
      <w:r w:rsidR="00742930">
        <w:t xml:space="preserve">, </w:t>
      </w:r>
      <w:r w:rsidR="00670925">
        <w:t>30</w:t>
      </w:r>
      <w:r w:rsidR="00F02BC3">
        <w:t xml:space="preserve"> states deny voting rights to felony probationers, </w:t>
      </w:r>
      <w:r w:rsidR="00670925">
        <w:t xml:space="preserve">34 </w:t>
      </w:r>
      <w:r w:rsidR="00F02BC3">
        <w:t xml:space="preserve">states disenfranchise parolees, and </w:t>
      </w:r>
      <w:r w:rsidR="00670925">
        <w:t xml:space="preserve">12 </w:t>
      </w:r>
      <w:r w:rsidR="00F02BC3">
        <w:t>states deny voting rights to some or all individuals who have successfully fulfilled their prison, parole or probation sentence</w:t>
      </w:r>
      <w:r w:rsidR="00742930">
        <w:t>; and</w:t>
      </w:r>
    </w:p>
    <w:p w14:paraId="06DA3967" w14:textId="77777777" w:rsidR="00D00C48" w:rsidRDefault="00D00C48" w:rsidP="00195CA4">
      <w:pPr>
        <w:pStyle w:val="ListParagraph"/>
        <w:ind w:left="0"/>
      </w:pPr>
    </w:p>
    <w:p w14:paraId="7CD8EB99" w14:textId="1D2062D6" w:rsidR="00D00C48" w:rsidRDefault="00D00C48" w:rsidP="00195CA4">
      <w:pPr>
        <w:pStyle w:val="ListParagraph"/>
        <w:ind w:left="0"/>
      </w:pPr>
      <w:r>
        <w:tab/>
        <w:t xml:space="preserve">WHEREAS, </w:t>
      </w:r>
      <w:r w:rsidR="00170DBB">
        <w:t xml:space="preserve">Maine and Vermont are the only </w:t>
      </w:r>
      <w:r w:rsidR="00D473F9">
        <w:t xml:space="preserve">two states that </w:t>
      </w:r>
      <w:r w:rsidR="00222BD1">
        <w:t>do</w:t>
      </w:r>
      <w:r w:rsidR="00BD0B72">
        <w:t xml:space="preserve"> not</w:t>
      </w:r>
      <w:r w:rsidR="00D473F9">
        <w:t xml:space="preserve"> disenfranchise felons; and</w:t>
      </w:r>
    </w:p>
    <w:p w14:paraId="28D33BDA" w14:textId="77777777" w:rsidR="00615B49" w:rsidRDefault="00615B49" w:rsidP="00195CA4">
      <w:pPr>
        <w:pStyle w:val="ListParagraph"/>
        <w:ind w:left="0"/>
      </w:pPr>
    </w:p>
    <w:p w14:paraId="4AABE9FE" w14:textId="1649DF49" w:rsidR="00615B49" w:rsidRDefault="00615B49" w:rsidP="00195CA4">
      <w:pPr>
        <w:pStyle w:val="ListParagraph"/>
        <w:ind w:left="0"/>
      </w:pPr>
      <w:r>
        <w:tab/>
        <w:t xml:space="preserve">WHEREAS, </w:t>
      </w:r>
      <w:r w:rsidR="005173E0">
        <w:t xml:space="preserve">as of December 2016, </w:t>
      </w:r>
      <w:r w:rsidR="001E072C">
        <w:t xml:space="preserve">the Bureau of Justice Statistics reported </w:t>
      </w:r>
      <w:r w:rsidR="005676CA">
        <w:t>there were an estimated 4</w:t>
      </w:r>
      <w:r w:rsidR="008A1D59">
        <w:t>.5 million</w:t>
      </w:r>
      <w:r w:rsidR="005676CA">
        <w:t xml:space="preserve"> adults </w:t>
      </w:r>
      <w:r w:rsidR="001E072C">
        <w:t xml:space="preserve">in the U.S. </w:t>
      </w:r>
      <w:r w:rsidR="005676CA">
        <w:t>under community supervision</w:t>
      </w:r>
      <w:r w:rsidR="00F266B7">
        <w:t>,</w:t>
      </w:r>
      <w:r w:rsidR="005676CA">
        <w:t xml:space="preserve"> probation or parole</w:t>
      </w:r>
      <w:r w:rsidR="00F7698F">
        <w:t xml:space="preserve"> an</w:t>
      </w:r>
      <w:r w:rsidR="002057ED">
        <w:t>d</w:t>
      </w:r>
      <w:r w:rsidR="001E072C">
        <w:t>,</w:t>
      </w:r>
      <w:r w:rsidR="005676CA">
        <w:t xml:space="preserve"> of that amount</w:t>
      </w:r>
      <w:r w:rsidR="001E072C">
        <w:t>,</w:t>
      </w:r>
      <w:r w:rsidR="005676CA">
        <w:t xml:space="preserve"> 64,900 were residents of the state of Wisconsin; and </w:t>
      </w:r>
      <w:r>
        <w:t xml:space="preserve"> </w:t>
      </w:r>
    </w:p>
    <w:p w14:paraId="403CA045" w14:textId="77777777" w:rsidR="008A1D59" w:rsidRDefault="008A1D59" w:rsidP="00195CA4">
      <w:pPr>
        <w:pStyle w:val="ListParagraph"/>
        <w:ind w:left="0"/>
      </w:pPr>
    </w:p>
    <w:p w14:paraId="70DD5F97" w14:textId="66BB013B" w:rsidR="00243139" w:rsidRDefault="008A1D59" w:rsidP="00195CA4">
      <w:pPr>
        <w:pStyle w:val="ListParagraph"/>
        <w:ind w:left="0"/>
      </w:pPr>
      <w:r>
        <w:tab/>
        <w:t xml:space="preserve">WHEREAS, </w:t>
      </w:r>
      <w:r w:rsidR="00AE7372">
        <w:t>the Ex</w:t>
      </w:r>
      <w:r w:rsidR="00243139">
        <w:t xml:space="preserve">-Incarcerated People Organizing </w:t>
      </w:r>
      <w:r w:rsidR="006A12DD">
        <w:t>(</w:t>
      </w:r>
      <w:r w:rsidR="00243139">
        <w:t>EXPO</w:t>
      </w:r>
      <w:r w:rsidR="006A12DD">
        <w:t>)</w:t>
      </w:r>
      <w:r w:rsidR="00BA4C0D">
        <w:t xml:space="preserve"> g</w:t>
      </w:r>
      <w:r w:rsidR="00243139">
        <w:t xml:space="preserve">roup reports in 2016 that the average length of stay for parole in Wisconsin was estimated to be </w:t>
      </w:r>
      <w:r w:rsidR="00781ECE">
        <w:t>38 months</w:t>
      </w:r>
      <w:r w:rsidR="00243139">
        <w:t xml:space="preserve"> or a little over </w:t>
      </w:r>
      <w:r w:rsidR="00CC11C7">
        <w:t xml:space="preserve">three </w:t>
      </w:r>
      <w:r w:rsidR="00243139">
        <w:t>years</w:t>
      </w:r>
      <w:r w:rsidR="00A24139">
        <w:t xml:space="preserve">, </w:t>
      </w:r>
      <w:r w:rsidR="001D362A">
        <w:t>that</w:t>
      </w:r>
      <w:r w:rsidR="00A24139">
        <w:t xml:space="preserve"> makes Wisconsin third nationally for probation and parole sentences</w:t>
      </w:r>
      <w:r w:rsidR="00BA4C0D">
        <w:t xml:space="preserve"> as reported by the EXPO group</w:t>
      </w:r>
      <w:r w:rsidR="00243139">
        <w:t>; and</w:t>
      </w:r>
    </w:p>
    <w:p w14:paraId="77A90C9A" w14:textId="77777777" w:rsidR="00243139" w:rsidRDefault="00243139" w:rsidP="00195CA4">
      <w:pPr>
        <w:pStyle w:val="ListParagraph"/>
        <w:ind w:left="0"/>
      </w:pPr>
    </w:p>
    <w:p w14:paraId="2B556DC0" w14:textId="009CB779" w:rsidR="008A1D59" w:rsidRDefault="00243139" w:rsidP="00195CA4">
      <w:pPr>
        <w:pStyle w:val="ListParagraph"/>
        <w:ind w:left="0"/>
      </w:pPr>
      <w:r>
        <w:tab/>
      </w:r>
      <w:r w:rsidR="00A24139">
        <w:t>WHEREAS,</w:t>
      </w:r>
      <w:r w:rsidR="00BA4C0D">
        <w:t xml:space="preserve"> the EXPO group further reports that</w:t>
      </w:r>
      <w:r w:rsidR="00A24139">
        <w:t xml:space="preserve"> the</w:t>
      </w:r>
      <w:r w:rsidR="00510B6F">
        <w:t xml:space="preserve"> average </w:t>
      </w:r>
      <w:r w:rsidR="00BD0B72">
        <w:t>duration for</w:t>
      </w:r>
      <w:r w:rsidR="00A24139">
        <w:t xml:space="preserve"> parole across all states is estimated to be </w:t>
      </w:r>
      <w:r w:rsidR="00781ECE">
        <w:t>22 months</w:t>
      </w:r>
      <w:r w:rsidR="00A24139">
        <w:t>; and</w:t>
      </w:r>
    </w:p>
    <w:p w14:paraId="076037B2" w14:textId="77777777" w:rsidR="00A24139" w:rsidRDefault="00A24139" w:rsidP="00CF5715">
      <w:pPr>
        <w:pStyle w:val="ListParagraph"/>
        <w:suppressLineNumbers/>
        <w:ind w:left="0"/>
      </w:pPr>
    </w:p>
    <w:p w14:paraId="11454C15" w14:textId="77777777" w:rsidR="00CF5715" w:rsidRDefault="00A24139" w:rsidP="00CF5715">
      <w:pPr>
        <w:pStyle w:val="ListParagraph"/>
        <w:suppressLineNumbers/>
        <w:ind w:left="0"/>
      </w:pPr>
      <w:r>
        <w:tab/>
      </w:r>
    </w:p>
    <w:p w14:paraId="2A847FBF" w14:textId="77777777" w:rsidR="00CF5715" w:rsidRDefault="00CF5715" w:rsidP="00CF5715">
      <w:pPr>
        <w:pStyle w:val="ListParagraph"/>
        <w:suppressLineNumbers/>
        <w:ind w:left="0"/>
      </w:pPr>
    </w:p>
    <w:p w14:paraId="38258C1E" w14:textId="77777777" w:rsidR="00A24139" w:rsidRDefault="00E65E57" w:rsidP="00CF5715">
      <w:pPr>
        <w:pStyle w:val="ListParagraph"/>
        <w:ind w:left="0" w:firstLine="720"/>
      </w:pPr>
      <w:r>
        <w:t xml:space="preserve">WHEREAS, </w:t>
      </w:r>
      <w:r w:rsidR="005B15E1">
        <w:t xml:space="preserve">a report by </w:t>
      </w:r>
      <w:r w:rsidR="00CF5715">
        <w:t xml:space="preserve">the Advancement Project titled </w:t>
      </w:r>
      <w:r w:rsidR="00CF5715" w:rsidRPr="00CF5715">
        <w:rPr>
          <w:i/>
        </w:rPr>
        <w:t>Democracy Disappeared How Florida Silences the Black Vote through Felony Disenfranchisement</w:t>
      </w:r>
      <w:r w:rsidR="00B158D9">
        <w:rPr>
          <w:i/>
        </w:rPr>
        <w:t xml:space="preserve"> </w:t>
      </w:r>
      <w:r w:rsidR="00B158D9">
        <w:t>published October 2018,</w:t>
      </w:r>
      <w:r w:rsidR="00CF5715">
        <w:t xml:space="preserve"> suggests that the consequences of felony disenfranchisement disproportionately </w:t>
      </w:r>
      <w:r w:rsidR="00F81AB1">
        <w:t>impact</w:t>
      </w:r>
      <w:r w:rsidR="00CF5715">
        <w:t xml:space="preserve"> poor </w:t>
      </w:r>
      <w:r w:rsidR="00C723B2">
        <w:t>communities</w:t>
      </w:r>
      <w:r w:rsidR="00CF5715">
        <w:t xml:space="preserve"> and communities of color, which are likely to have high concentrations of returning citizens who are disenfranchised; and</w:t>
      </w:r>
    </w:p>
    <w:p w14:paraId="137D2A8D" w14:textId="77777777" w:rsidR="00E04A21" w:rsidRDefault="00E04A21" w:rsidP="00CF5715">
      <w:pPr>
        <w:pStyle w:val="ListParagraph"/>
        <w:ind w:left="0" w:firstLine="720"/>
      </w:pPr>
    </w:p>
    <w:p w14:paraId="43D619EC" w14:textId="33D5D92A" w:rsidR="00E04A21" w:rsidRDefault="00E04A21" w:rsidP="00CF5715">
      <w:pPr>
        <w:pStyle w:val="ListParagraph"/>
        <w:ind w:left="0" w:firstLine="720"/>
      </w:pPr>
      <w:r>
        <w:t xml:space="preserve">WHEREAS, </w:t>
      </w:r>
      <w:r w:rsidR="00E02C0C">
        <w:t xml:space="preserve">the report further </w:t>
      </w:r>
      <w:r w:rsidR="00D55E9E">
        <w:t>indicates</w:t>
      </w:r>
      <w:r w:rsidR="00E02C0C">
        <w:t xml:space="preserve"> that losing the right to vote is linked to socio-economic conditions</w:t>
      </w:r>
      <w:r w:rsidR="00EB309A">
        <w:t>;</w:t>
      </w:r>
      <w:r w:rsidR="00E02C0C">
        <w:t xml:space="preserve"> felony disenfranchisement converges with low income, poverty, limited education and employment opportunities to disempower entire communities; and</w:t>
      </w:r>
    </w:p>
    <w:p w14:paraId="07AD3D24" w14:textId="77777777" w:rsidR="00E02C0C" w:rsidRDefault="00E02C0C" w:rsidP="00CF5715">
      <w:pPr>
        <w:pStyle w:val="ListParagraph"/>
        <w:ind w:left="0" w:firstLine="720"/>
      </w:pPr>
    </w:p>
    <w:p w14:paraId="1C0F4FB8" w14:textId="53DFE500" w:rsidR="00E02C0C" w:rsidRDefault="00B72348" w:rsidP="00CF5715">
      <w:pPr>
        <w:pStyle w:val="ListParagraph"/>
        <w:ind w:left="0" w:firstLine="720"/>
      </w:pPr>
      <w:r>
        <w:t xml:space="preserve">WHEREAS, </w:t>
      </w:r>
      <w:r w:rsidR="00136A24">
        <w:t xml:space="preserve">the inability for disenfranchised </w:t>
      </w:r>
      <w:r w:rsidR="00AC2E78">
        <w:t>people convicted of a felony</w:t>
      </w:r>
      <w:r w:rsidR="00136A24">
        <w:t xml:space="preserve"> to participate in the political process limits their power</w:t>
      </w:r>
      <w:r w:rsidR="00361863">
        <w:t xml:space="preserve"> to</w:t>
      </w:r>
      <w:r w:rsidR="00136A24">
        <w:t xml:space="preserve"> overcome inequality and systemic injustice and isolates them from society; and</w:t>
      </w:r>
    </w:p>
    <w:p w14:paraId="1271FDD1" w14:textId="77777777" w:rsidR="00332BE3" w:rsidRDefault="00332BE3" w:rsidP="00CF5715">
      <w:pPr>
        <w:pStyle w:val="ListParagraph"/>
        <w:ind w:left="0" w:firstLine="720"/>
      </w:pPr>
    </w:p>
    <w:p w14:paraId="4E1C040A" w14:textId="66903E00" w:rsidR="00943745" w:rsidRDefault="00332BE3" w:rsidP="009D3533">
      <w:pPr>
        <w:pStyle w:val="ListParagraph"/>
        <w:ind w:left="0" w:firstLine="720"/>
      </w:pPr>
      <w:r>
        <w:t xml:space="preserve">WHEREAS, </w:t>
      </w:r>
      <w:r w:rsidR="00AC17EC">
        <w:t>the Advancement Project reports that when large number citizens are not allowed to vote, entire constituencies may go unrepresented in the democratic institutions that govern them; and</w:t>
      </w:r>
    </w:p>
    <w:p w14:paraId="46A77ABD" w14:textId="034D9326" w:rsidR="00EA0819" w:rsidRDefault="00EA0819" w:rsidP="009D3533">
      <w:pPr>
        <w:pStyle w:val="ListParagraph"/>
        <w:ind w:left="0" w:firstLine="720"/>
      </w:pPr>
    </w:p>
    <w:p w14:paraId="35B0BC18" w14:textId="6C3B0D91" w:rsidR="005605BF" w:rsidRDefault="00EA0819" w:rsidP="009D3533">
      <w:pPr>
        <w:pStyle w:val="ListParagraph"/>
        <w:ind w:left="0" w:firstLine="720"/>
      </w:pPr>
      <w:r>
        <w:t xml:space="preserve">WHEREAS, </w:t>
      </w:r>
      <w:r w:rsidR="00EB309A">
        <w:t>under Wisconsin Legis</w:t>
      </w:r>
      <w:r w:rsidR="00197A44">
        <w:t>lative Reference Bureau (</w:t>
      </w:r>
      <w:r>
        <w:t>LRB</w:t>
      </w:r>
      <w:r w:rsidR="00197A44">
        <w:t>) draft legislation</w:t>
      </w:r>
      <w:r>
        <w:t xml:space="preserve"> 1522/P1 a person would lose his or her right to vote based on a disqualifying offense only while he or she is incarcerated for that offense and a person that is </w:t>
      </w:r>
      <w:r w:rsidR="0034412F">
        <w:t xml:space="preserve">released to extended supervision </w:t>
      </w:r>
      <w:r w:rsidR="005605BF">
        <w:t>or parole may resume voting; and</w:t>
      </w:r>
    </w:p>
    <w:p w14:paraId="1B258310" w14:textId="77777777" w:rsidR="005605BF" w:rsidRDefault="005605BF" w:rsidP="009D3533">
      <w:pPr>
        <w:pStyle w:val="ListParagraph"/>
        <w:ind w:left="0" w:firstLine="720"/>
      </w:pPr>
    </w:p>
    <w:p w14:paraId="1BA352C9" w14:textId="618253CA" w:rsidR="0063376D" w:rsidRDefault="005605BF" w:rsidP="00594963">
      <w:pPr>
        <w:pStyle w:val="ListParagraph"/>
        <w:ind w:left="0" w:firstLine="720"/>
      </w:pPr>
      <w:r>
        <w:t>WHEREAS, additionally, LRB 1522/P1 would allow a person convicted of a disqualifying offense and on probation retain his or her right to vote unless he or she is confined as a condition of probation</w:t>
      </w:r>
      <w:r w:rsidR="008C5DD3">
        <w:t>; and</w:t>
      </w:r>
    </w:p>
    <w:p w14:paraId="5FD5683D" w14:textId="77777777" w:rsidR="00594963" w:rsidRDefault="00594963" w:rsidP="00594963">
      <w:pPr>
        <w:pStyle w:val="ListParagraph"/>
        <w:ind w:left="0" w:firstLine="720"/>
      </w:pPr>
    </w:p>
    <w:p w14:paraId="4BFE0A85" w14:textId="48F0C8F0" w:rsidR="0063376D" w:rsidRDefault="0063376D" w:rsidP="00594963">
      <w:pPr>
        <w:pStyle w:val="ListParagraph"/>
        <w:ind w:left="0" w:firstLine="720"/>
      </w:pPr>
      <w:r>
        <w:t xml:space="preserve">WHEREAS, EXPO, Wisconsin Affiliate of the Gamaliel Foundation </w:t>
      </w:r>
      <w:r w:rsidR="00374754">
        <w:t>(</w:t>
      </w:r>
      <w:r>
        <w:t>WISDOM</w:t>
      </w:r>
      <w:r w:rsidR="00374754">
        <w:t>)</w:t>
      </w:r>
      <w:r>
        <w:t xml:space="preserve">, the American Civil Liberties Union </w:t>
      </w:r>
      <w:r w:rsidR="00374754">
        <w:t>(</w:t>
      </w:r>
      <w:r>
        <w:t>ACLU</w:t>
      </w:r>
      <w:r w:rsidR="00374754">
        <w:t>)</w:t>
      </w:r>
      <w:r>
        <w:t>, Project Return, Wisconsin Voices,</w:t>
      </w:r>
      <w:r w:rsidR="002021E3">
        <w:t xml:space="preserve"> League of Women Voters</w:t>
      </w:r>
      <w:r>
        <w:t xml:space="preserve"> and Just Leadership USA </w:t>
      </w:r>
      <w:r w:rsidR="00B21D2B">
        <w:t xml:space="preserve">plans to </w:t>
      </w:r>
      <w:r>
        <w:t>launch the “Unlock the Vote” Campaign seeking to reengage 64,900 disenfranchised voters; and</w:t>
      </w:r>
    </w:p>
    <w:p w14:paraId="6F548F9D" w14:textId="77777777" w:rsidR="00594963" w:rsidRDefault="00594963" w:rsidP="00594963">
      <w:pPr>
        <w:pStyle w:val="ListParagraph"/>
        <w:ind w:left="0" w:firstLine="720"/>
      </w:pPr>
    </w:p>
    <w:p w14:paraId="6BE67684" w14:textId="13917576" w:rsidR="00F45A46" w:rsidRDefault="0063376D" w:rsidP="00F45A46">
      <w:pPr>
        <w:pStyle w:val="ListParagraph"/>
        <w:ind w:left="0" w:firstLine="720"/>
      </w:pPr>
      <w:r>
        <w:t xml:space="preserve">WHEREAS, </w:t>
      </w:r>
      <w:r w:rsidR="00E5001B">
        <w:t xml:space="preserve">felony disenfranchisement </w:t>
      </w:r>
      <w:r w:rsidR="00F45A46">
        <w:t xml:space="preserve">is major social issue across the United States the </w:t>
      </w:r>
      <w:r w:rsidR="00197A44">
        <w:t xml:space="preserve">adversely </w:t>
      </w:r>
      <w:r w:rsidR="00A26BA4">
        <w:t>a</w:t>
      </w:r>
      <w:r w:rsidR="00F45A46">
        <w:t xml:space="preserve">ffects </w:t>
      </w:r>
      <w:r w:rsidR="00197A44">
        <w:t xml:space="preserve">more than </w:t>
      </w:r>
      <w:r w:rsidR="00F45A46">
        <w:t>4 million people</w:t>
      </w:r>
      <w:r w:rsidR="00197A44">
        <w:t>, including</w:t>
      </w:r>
      <w:r w:rsidR="00F45A46">
        <w:t xml:space="preserve"> 64,</w:t>
      </w:r>
      <w:r w:rsidR="00C76903">
        <w:t>9</w:t>
      </w:r>
      <w:r w:rsidR="00F45A46">
        <w:t xml:space="preserve">00 people in the state of Wisconsin, as it is a constitutional right that every citizen should be allowed </w:t>
      </w:r>
      <w:r w:rsidR="001752AA">
        <w:t>the right to vote</w:t>
      </w:r>
      <w:r w:rsidR="00F45A46">
        <w:t>; now, therefore</w:t>
      </w:r>
      <w:r w:rsidR="00A26BA4">
        <w:t>,</w:t>
      </w:r>
    </w:p>
    <w:p w14:paraId="035D9CDE" w14:textId="6534D5C1" w:rsidR="00F45A46" w:rsidRDefault="00F45A46" w:rsidP="000F0D50">
      <w:pPr>
        <w:pStyle w:val="ListParagraph"/>
        <w:suppressLineNumbers/>
        <w:ind w:left="0" w:firstLine="720"/>
      </w:pPr>
    </w:p>
    <w:p w14:paraId="1EADB7AE" w14:textId="77777777" w:rsidR="006A4970" w:rsidRDefault="006A4970" w:rsidP="00594963">
      <w:pPr>
        <w:pStyle w:val="ListParagraph"/>
        <w:suppressLineNumbers/>
        <w:ind w:left="0" w:firstLine="720"/>
      </w:pPr>
    </w:p>
    <w:p w14:paraId="368D1646" w14:textId="77777777" w:rsidR="00594963" w:rsidRDefault="00594963" w:rsidP="00594963">
      <w:pPr>
        <w:pStyle w:val="ListParagraph"/>
        <w:suppressLineNumbers/>
        <w:ind w:left="0" w:firstLine="720"/>
      </w:pPr>
    </w:p>
    <w:p w14:paraId="3957AE51" w14:textId="5DF26312" w:rsidR="00F45A46" w:rsidRDefault="00EA0819" w:rsidP="006A4970">
      <w:pPr>
        <w:pStyle w:val="ListParagraph"/>
        <w:ind w:left="0" w:firstLine="720"/>
      </w:pPr>
      <w:r>
        <w:lastRenderedPageBreak/>
        <w:t xml:space="preserve">BE IT RESOLVED, that Milwaukee County supports </w:t>
      </w:r>
      <w:r w:rsidR="00197A44">
        <w:t>Wisconsin Legislative Reference Bureau (</w:t>
      </w:r>
      <w:r>
        <w:t>LRB</w:t>
      </w:r>
      <w:r w:rsidR="00197A44">
        <w:t>) draft legislation</w:t>
      </w:r>
      <w:r>
        <w:t xml:space="preserve"> 1522/P1 that seeks to restore voting rights to disenfranchised felons and </w:t>
      </w:r>
      <w:r w:rsidR="006A4970">
        <w:t xml:space="preserve">efforts to </w:t>
      </w:r>
      <w:r w:rsidR="00A87648">
        <w:t xml:space="preserve">reduce felony disenfranchisement </w:t>
      </w:r>
      <w:r w:rsidR="00991FFB">
        <w:t>and reform practices that disproportionately impacts communities of color in Wisconsin and the United States; and</w:t>
      </w:r>
    </w:p>
    <w:p w14:paraId="73C71FB5" w14:textId="77777777" w:rsidR="006A7C05" w:rsidRDefault="006A7C05" w:rsidP="00F45A46">
      <w:pPr>
        <w:pStyle w:val="ListParagraph"/>
        <w:ind w:left="0" w:firstLine="720"/>
      </w:pPr>
    </w:p>
    <w:p w14:paraId="74070BE0" w14:textId="1358F493" w:rsidR="00A26BA4" w:rsidRDefault="006A7C05">
      <w:pPr>
        <w:pStyle w:val="ListParagraph"/>
        <w:ind w:left="0" w:firstLine="720"/>
      </w:pPr>
      <w:r>
        <w:t xml:space="preserve">BE IT FURTHER RESOLVED, </w:t>
      </w:r>
      <w:r w:rsidR="00FD7AAA">
        <w:t>that Milwaukee</w:t>
      </w:r>
      <w:r>
        <w:t xml:space="preserve"> </w:t>
      </w:r>
      <w:r w:rsidR="000F0D50">
        <w:t>County supports</w:t>
      </w:r>
      <w:r>
        <w:t xml:space="preserve"> a comprehensive review and revision of Wisconsin’s sentencing guidelines, parole process</w:t>
      </w:r>
      <w:r w:rsidR="00404690">
        <w:t>es</w:t>
      </w:r>
      <w:r>
        <w:t xml:space="preserve">, and revocation processes to ensure </w:t>
      </w:r>
      <w:r w:rsidR="004052C5">
        <w:t>that</w:t>
      </w:r>
      <w:r>
        <w:t xml:space="preserve"> best practices </w:t>
      </w:r>
      <w:r w:rsidR="004052C5">
        <w:t>are being followed; and</w:t>
      </w:r>
    </w:p>
    <w:p w14:paraId="3E59F6AA" w14:textId="77777777" w:rsidR="000F0D50" w:rsidRDefault="000F0D50">
      <w:pPr>
        <w:pStyle w:val="ListParagraph"/>
        <w:ind w:left="0" w:firstLine="720"/>
      </w:pPr>
    </w:p>
    <w:p w14:paraId="4D5F76E0" w14:textId="34FD08F8" w:rsidR="00332BE3" w:rsidRPr="00CF5715" w:rsidRDefault="002F5764" w:rsidP="00A0040B">
      <w:pPr>
        <w:pStyle w:val="ListParagraph"/>
        <w:ind w:left="0" w:firstLine="720"/>
      </w:pPr>
      <w:r>
        <w:t xml:space="preserve">BE IT FURTHER </w:t>
      </w:r>
      <w:r w:rsidR="001F3D4B">
        <w:t>RESOLVED, Milwaukee</w:t>
      </w:r>
      <w:r>
        <w:t xml:space="preserve"> </w:t>
      </w:r>
      <w:r w:rsidR="000F0D50">
        <w:t>County supports</w:t>
      </w:r>
      <w:r>
        <w:t xml:space="preserve"> </w:t>
      </w:r>
      <w:r w:rsidR="001F3D4B">
        <w:t>LRB 1522/P1</w:t>
      </w:r>
      <w:r w:rsidR="006F0FF8">
        <w:t xml:space="preserve"> which is anticipated to be introduced soon,</w:t>
      </w:r>
      <w:r w:rsidR="001F3D4B">
        <w:t xml:space="preserve"> </w:t>
      </w:r>
      <w:r w:rsidR="00A0040B">
        <w:t xml:space="preserve">and </w:t>
      </w:r>
      <w:r w:rsidR="000B45B1">
        <w:t xml:space="preserve">requests Government Affairs staff to communicate this position to </w:t>
      </w:r>
      <w:r w:rsidR="00A0040B">
        <w:t xml:space="preserve">the Wisconsin State Legislature and the Governor </w:t>
      </w:r>
      <w:r w:rsidR="000B45B1">
        <w:t>in support of its passage</w:t>
      </w:r>
      <w:r w:rsidR="00A0040B">
        <w:t xml:space="preserve">. </w:t>
      </w:r>
    </w:p>
    <w:sectPr w:rsidR="00332BE3" w:rsidRPr="00CF5715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661E" w14:textId="77777777" w:rsidR="00A87648" w:rsidRDefault="00A87648">
      <w:r>
        <w:separator/>
      </w:r>
    </w:p>
  </w:endnote>
  <w:endnote w:type="continuationSeparator" w:id="0">
    <w:p w14:paraId="6561ADAD" w14:textId="77777777" w:rsidR="00A87648" w:rsidRDefault="00A8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EC56" w14:textId="77777777" w:rsidR="00A87648" w:rsidRDefault="00A87648">
    <w:pPr>
      <w:spacing w:line="240" w:lineRule="exact"/>
    </w:pPr>
  </w:p>
  <w:p w14:paraId="67F15736" w14:textId="77777777" w:rsidR="00A87648" w:rsidRDefault="00A87648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5D26E" w14:textId="77777777" w:rsidR="00A87648" w:rsidRDefault="00A87648">
      <w:r>
        <w:separator/>
      </w:r>
    </w:p>
  </w:footnote>
  <w:footnote w:type="continuationSeparator" w:id="0">
    <w:p w14:paraId="2123D40F" w14:textId="77777777" w:rsidR="00A87648" w:rsidRDefault="00A8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4187E"/>
    <w:rsid w:val="00056A69"/>
    <w:rsid w:val="0007456D"/>
    <w:rsid w:val="00080AD6"/>
    <w:rsid w:val="000901D9"/>
    <w:rsid w:val="00092681"/>
    <w:rsid w:val="00093533"/>
    <w:rsid w:val="000944E6"/>
    <w:rsid w:val="000A0375"/>
    <w:rsid w:val="000A6FA0"/>
    <w:rsid w:val="000B428A"/>
    <w:rsid w:val="000B45B1"/>
    <w:rsid w:val="000B5E84"/>
    <w:rsid w:val="000B6BD0"/>
    <w:rsid w:val="000B6D44"/>
    <w:rsid w:val="000D7267"/>
    <w:rsid w:val="000D7B4C"/>
    <w:rsid w:val="000E4747"/>
    <w:rsid w:val="000E47DE"/>
    <w:rsid w:val="000F0D50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36A24"/>
    <w:rsid w:val="001405E8"/>
    <w:rsid w:val="00142A40"/>
    <w:rsid w:val="001457E6"/>
    <w:rsid w:val="0014610F"/>
    <w:rsid w:val="0014753A"/>
    <w:rsid w:val="0016329D"/>
    <w:rsid w:val="00163692"/>
    <w:rsid w:val="00170DBB"/>
    <w:rsid w:val="001752AA"/>
    <w:rsid w:val="001770FB"/>
    <w:rsid w:val="00180005"/>
    <w:rsid w:val="00184392"/>
    <w:rsid w:val="0018574F"/>
    <w:rsid w:val="00195CA4"/>
    <w:rsid w:val="00197A44"/>
    <w:rsid w:val="001D362A"/>
    <w:rsid w:val="001D5A05"/>
    <w:rsid w:val="001E072C"/>
    <w:rsid w:val="001E6962"/>
    <w:rsid w:val="001F1DC5"/>
    <w:rsid w:val="001F3D4B"/>
    <w:rsid w:val="001F6D9C"/>
    <w:rsid w:val="00201F80"/>
    <w:rsid w:val="002021E3"/>
    <w:rsid w:val="002057ED"/>
    <w:rsid w:val="00206A0E"/>
    <w:rsid w:val="002076D2"/>
    <w:rsid w:val="00222BD1"/>
    <w:rsid w:val="002237BC"/>
    <w:rsid w:val="002362C4"/>
    <w:rsid w:val="0023644B"/>
    <w:rsid w:val="00243139"/>
    <w:rsid w:val="00252C03"/>
    <w:rsid w:val="00252F32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2F5764"/>
    <w:rsid w:val="00305E7D"/>
    <w:rsid w:val="00320132"/>
    <w:rsid w:val="00332BE3"/>
    <w:rsid w:val="00335ABA"/>
    <w:rsid w:val="00340D83"/>
    <w:rsid w:val="0034412F"/>
    <w:rsid w:val="00344D68"/>
    <w:rsid w:val="003575ED"/>
    <w:rsid w:val="003606B9"/>
    <w:rsid w:val="00361863"/>
    <w:rsid w:val="0037025B"/>
    <w:rsid w:val="00374754"/>
    <w:rsid w:val="00380A5C"/>
    <w:rsid w:val="0038340E"/>
    <w:rsid w:val="003850E2"/>
    <w:rsid w:val="0039092B"/>
    <w:rsid w:val="00393D76"/>
    <w:rsid w:val="00397813"/>
    <w:rsid w:val="003978A8"/>
    <w:rsid w:val="003B6EFA"/>
    <w:rsid w:val="003C0946"/>
    <w:rsid w:val="003C484C"/>
    <w:rsid w:val="003D10FA"/>
    <w:rsid w:val="003D3897"/>
    <w:rsid w:val="003D7724"/>
    <w:rsid w:val="003E0C44"/>
    <w:rsid w:val="003E4D6E"/>
    <w:rsid w:val="003E53FD"/>
    <w:rsid w:val="003F033A"/>
    <w:rsid w:val="003F567E"/>
    <w:rsid w:val="003F7797"/>
    <w:rsid w:val="003F7E98"/>
    <w:rsid w:val="00404690"/>
    <w:rsid w:val="004052C5"/>
    <w:rsid w:val="004134D8"/>
    <w:rsid w:val="00423434"/>
    <w:rsid w:val="00426382"/>
    <w:rsid w:val="00440117"/>
    <w:rsid w:val="004541A4"/>
    <w:rsid w:val="0046281E"/>
    <w:rsid w:val="00485468"/>
    <w:rsid w:val="00491424"/>
    <w:rsid w:val="0049167F"/>
    <w:rsid w:val="00496FB8"/>
    <w:rsid w:val="004A0FF4"/>
    <w:rsid w:val="004A5370"/>
    <w:rsid w:val="004C0424"/>
    <w:rsid w:val="004C2497"/>
    <w:rsid w:val="004C4716"/>
    <w:rsid w:val="004C7A11"/>
    <w:rsid w:val="004D14AA"/>
    <w:rsid w:val="0050091D"/>
    <w:rsid w:val="00504DAC"/>
    <w:rsid w:val="00507B6D"/>
    <w:rsid w:val="00510B6F"/>
    <w:rsid w:val="005173E0"/>
    <w:rsid w:val="005174A1"/>
    <w:rsid w:val="00517B1C"/>
    <w:rsid w:val="005203C8"/>
    <w:rsid w:val="00554FEA"/>
    <w:rsid w:val="005605BF"/>
    <w:rsid w:val="00566EB1"/>
    <w:rsid w:val="005676CA"/>
    <w:rsid w:val="00572AA6"/>
    <w:rsid w:val="00583B2F"/>
    <w:rsid w:val="00583C73"/>
    <w:rsid w:val="00594963"/>
    <w:rsid w:val="0059662B"/>
    <w:rsid w:val="00597058"/>
    <w:rsid w:val="005A2A13"/>
    <w:rsid w:val="005A4159"/>
    <w:rsid w:val="005A4961"/>
    <w:rsid w:val="005B15E1"/>
    <w:rsid w:val="005B1C58"/>
    <w:rsid w:val="005B366F"/>
    <w:rsid w:val="005B4487"/>
    <w:rsid w:val="005B44FB"/>
    <w:rsid w:val="005B5CF5"/>
    <w:rsid w:val="005C2704"/>
    <w:rsid w:val="005C2980"/>
    <w:rsid w:val="005C55F5"/>
    <w:rsid w:val="005C6DB1"/>
    <w:rsid w:val="005C7534"/>
    <w:rsid w:val="005D4375"/>
    <w:rsid w:val="005E1D80"/>
    <w:rsid w:val="006008AF"/>
    <w:rsid w:val="0060695A"/>
    <w:rsid w:val="00607BDE"/>
    <w:rsid w:val="00614C8D"/>
    <w:rsid w:val="00615B49"/>
    <w:rsid w:val="00622E29"/>
    <w:rsid w:val="00624D9E"/>
    <w:rsid w:val="0063311F"/>
    <w:rsid w:val="0063376D"/>
    <w:rsid w:val="006352C0"/>
    <w:rsid w:val="0063724B"/>
    <w:rsid w:val="006409DE"/>
    <w:rsid w:val="00647BEB"/>
    <w:rsid w:val="00664D5A"/>
    <w:rsid w:val="006707D0"/>
    <w:rsid w:val="00670925"/>
    <w:rsid w:val="0068587C"/>
    <w:rsid w:val="00690CD3"/>
    <w:rsid w:val="006930B1"/>
    <w:rsid w:val="006A12DD"/>
    <w:rsid w:val="006A3172"/>
    <w:rsid w:val="006A4970"/>
    <w:rsid w:val="006A7C05"/>
    <w:rsid w:val="006B28A6"/>
    <w:rsid w:val="006B4314"/>
    <w:rsid w:val="006B5ADC"/>
    <w:rsid w:val="006C66ED"/>
    <w:rsid w:val="006C7D5E"/>
    <w:rsid w:val="006D354B"/>
    <w:rsid w:val="006D7B79"/>
    <w:rsid w:val="006F0FF8"/>
    <w:rsid w:val="006F4423"/>
    <w:rsid w:val="007018A6"/>
    <w:rsid w:val="00701EAA"/>
    <w:rsid w:val="00702AAB"/>
    <w:rsid w:val="007167CF"/>
    <w:rsid w:val="007328A4"/>
    <w:rsid w:val="0073772C"/>
    <w:rsid w:val="00742930"/>
    <w:rsid w:val="00750441"/>
    <w:rsid w:val="0075759C"/>
    <w:rsid w:val="007646D9"/>
    <w:rsid w:val="007649D8"/>
    <w:rsid w:val="007746D8"/>
    <w:rsid w:val="00781ECE"/>
    <w:rsid w:val="007839C9"/>
    <w:rsid w:val="00784AC8"/>
    <w:rsid w:val="00794E41"/>
    <w:rsid w:val="007A0908"/>
    <w:rsid w:val="007A30F1"/>
    <w:rsid w:val="007A3B94"/>
    <w:rsid w:val="007A5EF5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458C5"/>
    <w:rsid w:val="0085628E"/>
    <w:rsid w:val="00860969"/>
    <w:rsid w:val="00860DDC"/>
    <w:rsid w:val="008662FB"/>
    <w:rsid w:val="00870DEC"/>
    <w:rsid w:val="0087522B"/>
    <w:rsid w:val="0087527B"/>
    <w:rsid w:val="0087667E"/>
    <w:rsid w:val="00891906"/>
    <w:rsid w:val="00896B13"/>
    <w:rsid w:val="008A1D59"/>
    <w:rsid w:val="008A31D5"/>
    <w:rsid w:val="008A6724"/>
    <w:rsid w:val="008A70C8"/>
    <w:rsid w:val="008B4117"/>
    <w:rsid w:val="008C1A0D"/>
    <w:rsid w:val="008C5DD3"/>
    <w:rsid w:val="008D6A14"/>
    <w:rsid w:val="008E208C"/>
    <w:rsid w:val="008E5864"/>
    <w:rsid w:val="008E7082"/>
    <w:rsid w:val="008F4508"/>
    <w:rsid w:val="008F58D8"/>
    <w:rsid w:val="008F76C6"/>
    <w:rsid w:val="008F7FE2"/>
    <w:rsid w:val="00900173"/>
    <w:rsid w:val="00906300"/>
    <w:rsid w:val="00922144"/>
    <w:rsid w:val="00943745"/>
    <w:rsid w:val="00956EFB"/>
    <w:rsid w:val="00962DA6"/>
    <w:rsid w:val="00964F54"/>
    <w:rsid w:val="00971FBB"/>
    <w:rsid w:val="00972DB7"/>
    <w:rsid w:val="00977C7B"/>
    <w:rsid w:val="0098779E"/>
    <w:rsid w:val="00991FFB"/>
    <w:rsid w:val="009A0EED"/>
    <w:rsid w:val="009A0FAA"/>
    <w:rsid w:val="009C021B"/>
    <w:rsid w:val="009C55D4"/>
    <w:rsid w:val="009D2E56"/>
    <w:rsid w:val="009D3533"/>
    <w:rsid w:val="009D3AE3"/>
    <w:rsid w:val="009E281A"/>
    <w:rsid w:val="009E733A"/>
    <w:rsid w:val="009F6170"/>
    <w:rsid w:val="009F6D73"/>
    <w:rsid w:val="00A0040B"/>
    <w:rsid w:val="00A005A6"/>
    <w:rsid w:val="00A0506A"/>
    <w:rsid w:val="00A137EA"/>
    <w:rsid w:val="00A20FAF"/>
    <w:rsid w:val="00A24139"/>
    <w:rsid w:val="00A26BA4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665F"/>
    <w:rsid w:val="00A77BE3"/>
    <w:rsid w:val="00A77EEF"/>
    <w:rsid w:val="00A86DB7"/>
    <w:rsid w:val="00A87648"/>
    <w:rsid w:val="00A95EB7"/>
    <w:rsid w:val="00AA4F36"/>
    <w:rsid w:val="00AB274B"/>
    <w:rsid w:val="00AB5C63"/>
    <w:rsid w:val="00AC14F0"/>
    <w:rsid w:val="00AC17D7"/>
    <w:rsid w:val="00AC17EC"/>
    <w:rsid w:val="00AC1BA9"/>
    <w:rsid w:val="00AC2E78"/>
    <w:rsid w:val="00AD0FFC"/>
    <w:rsid w:val="00AD6333"/>
    <w:rsid w:val="00AD66AF"/>
    <w:rsid w:val="00AD7378"/>
    <w:rsid w:val="00AE5551"/>
    <w:rsid w:val="00AE7372"/>
    <w:rsid w:val="00AF32FE"/>
    <w:rsid w:val="00AF561F"/>
    <w:rsid w:val="00B100E9"/>
    <w:rsid w:val="00B143A7"/>
    <w:rsid w:val="00B158D9"/>
    <w:rsid w:val="00B16086"/>
    <w:rsid w:val="00B21D2B"/>
    <w:rsid w:val="00B26220"/>
    <w:rsid w:val="00B3335B"/>
    <w:rsid w:val="00B4764C"/>
    <w:rsid w:val="00B618AB"/>
    <w:rsid w:val="00B66352"/>
    <w:rsid w:val="00B72348"/>
    <w:rsid w:val="00B745B2"/>
    <w:rsid w:val="00B82B52"/>
    <w:rsid w:val="00B83884"/>
    <w:rsid w:val="00BA4C0D"/>
    <w:rsid w:val="00BB395A"/>
    <w:rsid w:val="00BC09A3"/>
    <w:rsid w:val="00BC2BF1"/>
    <w:rsid w:val="00BD0124"/>
    <w:rsid w:val="00BD076A"/>
    <w:rsid w:val="00BD0B72"/>
    <w:rsid w:val="00BE1057"/>
    <w:rsid w:val="00BE3377"/>
    <w:rsid w:val="00BF20BB"/>
    <w:rsid w:val="00BF791C"/>
    <w:rsid w:val="00C1261F"/>
    <w:rsid w:val="00C142B8"/>
    <w:rsid w:val="00C171E4"/>
    <w:rsid w:val="00C21DD7"/>
    <w:rsid w:val="00C2290A"/>
    <w:rsid w:val="00C2478D"/>
    <w:rsid w:val="00C259E0"/>
    <w:rsid w:val="00C32FF0"/>
    <w:rsid w:val="00C33992"/>
    <w:rsid w:val="00C35044"/>
    <w:rsid w:val="00C46871"/>
    <w:rsid w:val="00C503CE"/>
    <w:rsid w:val="00C723B2"/>
    <w:rsid w:val="00C76903"/>
    <w:rsid w:val="00C80247"/>
    <w:rsid w:val="00C8756A"/>
    <w:rsid w:val="00C8760A"/>
    <w:rsid w:val="00C93A7F"/>
    <w:rsid w:val="00C942F8"/>
    <w:rsid w:val="00CA3B93"/>
    <w:rsid w:val="00CB2D22"/>
    <w:rsid w:val="00CC11C7"/>
    <w:rsid w:val="00CC2C19"/>
    <w:rsid w:val="00CD29C6"/>
    <w:rsid w:val="00CE147A"/>
    <w:rsid w:val="00CE4963"/>
    <w:rsid w:val="00CE7CE1"/>
    <w:rsid w:val="00CF5715"/>
    <w:rsid w:val="00CF6C0E"/>
    <w:rsid w:val="00D00C48"/>
    <w:rsid w:val="00D01441"/>
    <w:rsid w:val="00D06D2D"/>
    <w:rsid w:val="00D17A15"/>
    <w:rsid w:val="00D27BBD"/>
    <w:rsid w:val="00D3145E"/>
    <w:rsid w:val="00D44CF4"/>
    <w:rsid w:val="00D4736E"/>
    <w:rsid w:val="00D473F9"/>
    <w:rsid w:val="00D50FBE"/>
    <w:rsid w:val="00D5137B"/>
    <w:rsid w:val="00D54146"/>
    <w:rsid w:val="00D55E9E"/>
    <w:rsid w:val="00D62DA8"/>
    <w:rsid w:val="00D72EB8"/>
    <w:rsid w:val="00D7479E"/>
    <w:rsid w:val="00D766AD"/>
    <w:rsid w:val="00D87443"/>
    <w:rsid w:val="00D8751F"/>
    <w:rsid w:val="00D9120B"/>
    <w:rsid w:val="00D9190A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2C0C"/>
    <w:rsid w:val="00E04A21"/>
    <w:rsid w:val="00E05FED"/>
    <w:rsid w:val="00E07751"/>
    <w:rsid w:val="00E1502A"/>
    <w:rsid w:val="00E30FD9"/>
    <w:rsid w:val="00E31628"/>
    <w:rsid w:val="00E41AFA"/>
    <w:rsid w:val="00E4706B"/>
    <w:rsid w:val="00E5001B"/>
    <w:rsid w:val="00E509ED"/>
    <w:rsid w:val="00E5619C"/>
    <w:rsid w:val="00E6000E"/>
    <w:rsid w:val="00E62EC0"/>
    <w:rsid w:val="00E64FC5"/>
    <w:rsid w:val="00E650DF"/>
    <w:rsid w:val="00E65E57"/>
    <w:rsid w:val="00E72327"/>
    <w:rsid w:val="00E76D3D"/>
    <w:rsid w:val="00E866CC"/>
    <w:rsid w:val="00E873F6"/>
    <w:rsid w:val="00E918BB"/>
    <w:rsid w:val="00EA0819"/>
    <w:rsid w:val="00EA2F2E"/>
    <w:rsid w:val="00EA7B41"/>
    <w:rsid w:val="00EB13D7"/>
    <w:rsid w:val="00EB309A"/>
    <w:rsid w:val="00EB3FF0"/>
    <w:rsid w:val="00EC22A5"/>
    <w:rsid w:val="00EC3A8E"/>
    <w:rsid w:val="00ED0678"/>
    <w:rsid w:val="00ED2720"/>
    <w:rsid w:val="00ED76D1"/>
    <w:rsid w:val="00ED7F0A"/>
    <w:rsid w:val="00EE0B50"/>
    <w:rsid w:val="00EF3132"/>
    <w:rsid w:val="00EF6BC7"/>
    <w:rsid w:val="00EF7326"/>
    <w:rsid w:val="00F02BC3"/>
    <w:rsid w:val="00F02E3A"/>
    <w:rsid w:val="00F03768"/>
    <w:rsid w:val="00F10691"/>
    <w:rsid w:val="00F14844"/>
    <w:rsid w:val="00F20E7C"/>
    <w:rsid w:val="00F20F39"/>
    <w:rsid w:val="00F2131E"/>
    <w:rsid w:val="00F266B7"/>
    <w:rsid w:val="00F309CD"/>
    <w:rsid w:val="00F45A46"/>
    <w:rsid w:val="00F5533C"/>
    <w:rsid w:val="00F602ED"/>
    <w:rsid w:val="00F76743"/>
    <w:rsid w:val="00F7698F"/>
    <w:rsid w:val="00F81AB1"/>
    <w:rsid w:val="00F947DD"/>
    <w:rsid w:val="00F95E9C"/>
    <w:rsid w:val="00FB07BF"/>
    <w:rsid w:val="00FB4A1D"/>
    <w:rsid w:val="00FC1024"/>
    <w:rsid w:val="00FC135C"/>
    <w:rsid w:val="00FD7AAA"/>
    <w:rsid w:val="00FF3436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553590F"/>
  <w15:chartTrackingRefBased/>
  <w15:docId w15:val="{A014288C-C202-4F7F-A6E8-14AD280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E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7388-71B7-4F4B-938C-5C0AE76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30</TotalTime>
  <Pages>3</Pages>
  <Words>709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dc:description/>
  <cp:lastModifiedBy>Maxwell-Mitchell, Lottie</cp:lastModifiedBy>
  <cp:revision>9</cp:revision>
  <cp:lastPrinted>2017-09-06T21:36:00Z</cp:lastPrinted>
  <dcterms:created xsi:type="dcterms:W3CDTF">2019-06-26T15:00:00Z</dcterms:created>
  <dcterms:modified xsi:type="dcterms:W3CDTF">2019-07-08T14:27:00Z</dcterms:modified>
</cp:coreProperties>
</file>