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AB" w:rsidRPr="00D247AB" w:rsidRDefault="00D247AB" w:rsidP="00D247AB">
      <w:pPr>
        <w:jc w:val="right"/>
        <w:rPr>
          <w:rFonts w:ascii="Calibri" w:hAnsi="Calibri"/>
          <w:b/>
        </w:rPr>
      </w:pPr>
    </w:p>
    <w:p w:rsidR="00D26A7A" w:rsidRDefault="00D26A7A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File No. </w:t>
      </w:r>
    </w:p>
    <w:p w:rsidR="00D26A7A" w:rsidRDefault="00D26A7A">
      <w:pPr>
        <w:jc w:val="right"/>
        <w:rPr>
          <w:rFonts w:ascii="Calibri" w:hAnsi="Calibri"/>
        </w:rPr>
      </w:pPr>
      <w:r>
        <w:rPr>
          <w:rFonts w:ascii="Calibri" w:hAnsi="Calibri"/>
        </w:rPr>
        <w:t>(Journal, )</w:t>
      </w:r>
    </w:p>
    <w:p w:rsidR="00D26A7A" w:rsidRDefault="00D26A7A">
      <w:pPr>
        <w:tabs>
          <w:tab w:val="left" w:pos="720"/>
        </w:tabs>
        <w:rPr>
          <w:rFonts w:ascii="Calibri" w:hAnsi="Calibri"/>
        </w:rPr>
      </w:pPr>
    </w:p>
    <w:p w:rsidR="00D26A7A" w:rsidRDefault="00D26A7A">
      <w:pPr>
        <w:tabs>
          <w:tab w:val="left" w:pos="720"/>
        </w:tabs>
        <w:rPr>
          <w:rFonts w:ascii="Calibri" w:hAnsi="Calibri"/>
        </w:rPr>
      </w:pPr>
    </w:p>
    <w:p w:rsidR="00D26A7A" w:rsidRDefault="006F43F6" w:rsidP="006F43F6">
      <w:pPr>
        <w:pStyle w:val="BodyText"/>
        <w:ind w:left="810" w:hanging="810"/>
        <w:rPr>
          <w:rFonts w:ascii="Calibri" w:hAnsi="Calibri"/>
        </w:rPr>
      </w:pPr>
      <w:r>
        <w:rPr>
          <w:rFonts w:ascii="Calibri" w:hAnsi="Calibri"/>
        </w:rPr>
        <w:t>(ITEM</w:t>
      </w:r>
      <w:r w:rsidRPr="006F43F6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 </w:t>
      </w:r>
      <w:r w:rsidR="00D26A7A" w:rsidRPr="006F43F6">
        <w:rPr>
          <w:rFonts w:ascii="Calibri" w:hAnsi="Calibri"/>
        </w:rPr>
        <w:t xml:space="preserve">From the </w:t>
      </w:r>
      <w:r w:rsidR="00D247AB" w:rsidRPr="006F43F6">
        <w:rPr>
          <w:rFonts w:ascii="Calibri" w:hAnsi="Calibri"/>
        </w:rPr>
        <w:t xml:space="preserve">Interim </w:t>
      </w:r>
      <w:r w:rsidR="00D26A7A" w:rsidRPr="006F43F6">
        <w:rPr>
          <w:rFonts w:ascii="Calibri" w:hAnsi="Calibri"/>
        </w:rPr>
        <w:t>Director, Department</w:t>
      </w:r>
      <w:r w:rsidR="00E36473" w:rsidRPr="006F43F6">
        <w:rPr>
          <w:rFonts w:ascii="Calibri" w:hAnsi="Calibri"/>
        </w:rPr>
        <w:t xml:space="preserve"> of Health and Human Services, </w:t>
      </w:r>
      <w:r w:rsidRPr="006F43F6">
        <w:rPr>
          <w:rFonts w:ascii="Calibri" w:hAnsi="Calibri" w:cs="Calibri"/>
          <w:bCs/>
        </w:rPr>
        <w:t>requesting authorization to</w:t>
      </w:r>
      <w:r w:rsidR="005D6D3C">
        <w:rPr>
          <w:rFonts w:ascii="Calibri" w:hAnsi="Calibri" w:cs="Calibri"/>
          <w:bCs/>
        </w:rPr>
        <w:t xml:space="preserve"> retroactively </w:t>
      </w:r>
      <w:r w:rsidRPr="006F43F6">
        <w:rPr>
          <w:rFonts w:ascii="Calibri" w:hAnsi="Calibri" w:cs="Calibri"/>
          <w:bCs/>
        </w:rPr>
        <w:t xml:space="preserve">amend a 2017 purchase of service contract with Running Rebels </w:t>
      </w:r>
      <w:r w:rsidR="002F4DF7">
        <w:rPr>
          <w:rFonts w:ascii="Calibri" w:hAnsi="Calibri" w:cs="Calibri"/>
          <w:bCs/>
        </w:rPr>
        <w:t xml:space="preserve">Community Organization </w:t>
      </w:r>
      <w:r w:rsidR="0043676D" w:rsidRPr="006F43F6">
        <w:rPr>
          <w:rFonts w:ascii="Calibri" w:hAnsi="Calibri" w:cs="Calibri"/>
          <w:bCs/>
        </w:rPr>
        <w:t xml:space="preserve">for the Intensive Monitoring Program – Aftercare </w:t>
      </w:r>
      <w:r w:rsidRPr="006F43F6">
        <w:rPr>
          <w:rFonts w:ascii="Calibri" w:hAnsi="Calibri" w:cs="Calibri"/>
          <w:bCs/>
        </w:rPr>
        <w:t>within the Delinquency and Court Services Division (DCSD)</w:t>
      </w:r>
      <w:r w:rsidR="00D26A7A" w:rsidRPr="006F43F6">
        <w:rPr>
          <w:rFonts w:ascii="Calibri" w:hAnsi="Calibri"/>
        </w:rPr>
        <w:t>, by recommending adoption of the following:</w:t>
      </w:r>
    </w:p>
    <w:p w:rsidR="00D26A7A" w:rsidRDefault="00D26A7A">
      <w:pPr>
        <w:rPr>
          <w:rFonts w:ascii="Calibri" w:hAnsi="Calibri"/>
        </w:rPr>
      </w:pPr>
    </w:p>
    <w:p w:rsidR="00D26A7A" w:rsidRDefault="00D26A7A">
      <w:pPr>
        <w:pStyle w:val="Heading1"/>
        <w:rPr>
          <w:rFonts w:ascii="Calibri" w:hAnsi="Calibri"/>
        </w:rPr>
      </w:pPr>
      <w:r>
        <w:rPr>
          <w:rFonts w:ascii="Calibri" w:hAnsi="Calibri"/>
        </w:rPr>
        <w:t>A RESOLUTION</w:t>
      </w:r>
    </w:p>
    <w:p w:rsidR="00D26A7A" w:rsidRDefault="00D26A7A">
      <w:pPr>
        <w:jc w:val="center"/>
        <w:rPr>
          <w:rFonts w:ascii="Calibri" w:hAnsi="Calibri"/>
        </w:rPr>
      </w:pPr>
    </w:p>
    <w:p w:rsidR="00337F9C" w:rsidRDefault="000E0F5A" w:rsidP="00337F9C">
      <w:pPr>
        <w:pStyle w:val="BodyText"/>
        <w:tabs>
          <w:tab w:val="left" w:pos="450"/>
        </w:tabs>
        <w:rPr>
          <w:rFonts w:ascii="Calibri" w:hAnsi="Calibri" w:cs="Calibri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26A7A">
        <w:rPr>
          <w:rFonts w:ascii="Calibri" w:hAnsi="Calibri"/>
        </w:rPr>
        <w:t xml:space="preserve">WHEREAS, </w:t>
      </w:r>
      <w:r w:rsidR="00337F9C">
        <w:rPr>
          <w:rFonts w:ascii="Calibri" w:hAnsi="Calibri" w:cs="Calibri"/>
          <w:szCs w:val="24"/>
        </w:rPr>
        <w:t xml:space="preserve">the </w:t>
      </w:r>
      <w:r w:rsidR="00337F9C" w:rsidRPr="001B0D7D">
        <w:rPr>
          <w:rFonts w:ascii="Calibri" w:hAnsi="Calibri" w:cs="Calibri"/>
          <w:szCs w:val="24"/>
        </w:rPr>
        <w:t>Delinquency and Court Services (DCSD) took over Aftercare responsibilities from the State of W</w:t>
      </w:r>
      <w:r w:rsidR="00337F9C">
        <w:rPr>
          <w:rFonts w:ascii="Calibri" w:hAnsi="Calibri" w:cs="Calibri"/>
          <w:szCs w:val="24"/>
        </w:rPr>
        <w:t>isconsin effective July 1, 2017; and</w:t>
      </w:r>
    </w:p>
    <w:p w:rsidR="00337F9C" w:rsidRDefault="00337F9C" w:rsidP="00337F9C">
      <w:pPr>
        <w:pStyle w:val="BodyText"/>
        <w:tabs>
          <w:tab w:val="left" w:pos="450"/>
        </w:tabs>
        <w:rPr>
          <w:rFonts w:ascii="Calibri" w:hAnsi="Calibri" w:cs="Calibri"/>
          <w:szCs w:val="24"/>
        </w:rPr>
      </w:pPr>
    </w:p>
    <w:p w:rsidR="00D26A7A" w:rsidRDefault="00337F9C" w:rsidP="00337F9C">
      <w:pPr>
        <w:pStyle w:val="BodyText"/>
        <w:tabs>
          <w:tab w:val="left" w:pos="450"/>
        </w:tabs>
        <w:rPr>
          <w:rFonts w:ascii="Calibri" w:hAnsi="Calibri"/>
        </w:rPr>
      </w:pPr>
      <w:r>
        <w:rPr>
          <w:rFonts w:ascii="Calibri" w:hAnsi="Calibri" w:cs="Calibri"/>
          <w:szCs w:val="24"/>
        </w:rPr>
        <w:tab/>
      </w:r>
      <w:r w:rsidR="00A134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WHEREAS, the </w:t>
      </w:r>
      <w:r w:rsidR="00A134D4" w:rsidRPr="006F43F6">
        <w:rPr>
          <w:rFonts w:ascii="Calibri" w:hAnsi="Calibri" w:cs="Calibri"/>
          <w:bCs/>
        </w:rPr>
        <w:t>Intensive Monitoring Program</w:t>
      </w:r>
      <w:r w:rsidR="002F4DF7">
        <w:rPr>
          <w:rFonts w:ascii="Calibri" w:hAnsi="Calibri" w:cs="Calibri"/>
          <w:bCs/>
        </w:rPr>
        <w:t xml:space="preserve"> (IMP)</w:t>
      </w:r>
      <w:r w:rsidR="00A134D4" w:rsidRPr="006F43F6">
        <w:rPr>
          <w:rFonts w:ascii="Calibri" w:hAnsi="Calibri" w:cs="Calibri"/>
          <w:bCs/>
        </w:rPr>
        <w:t xml:space="preserve"> – Aftercare </w:t>
      </w:r>
      <w:r>
        <w:rPr>
          <w:rFonts w:ascii="Calibri" w:hAnsi="Calibri" w:cs="Calibri"/>
          <w:bCs/>
          <w:szCs w:val="24"/>
        </w:rPr>
        <w:t xml:space="preserve">serves both male and female youth who have been released from </w:t>
      </w:r>
      <w:r w:rsidRPr="001B0D7D">
        <w:rPr>
          <w:rFonts w:ascii="Calibri" w:hAnsi="Calibri" w:cs="Calibri"/>
          <w:bCs/>
          <w:szCs w:val="24"/>
        </w:rPr>
        <w:t xml:space="preserve">the Department of Corrections-Division of Juvenile Corrections and </w:t>
      </w:r>
      <w:r>
        <w:rPr>
          <w:rFonts w:ascii="Calibri" w:hAnsi="Calibri" w:cs="Calibri"/>
          <w:bCs/>
          <w:szCs w:val="24"/>
        </w:rPr>
        <w:t>provides</w:t>
      </w:r>
      <w:r w:rsidRPr="001B0D7D">
        <w:rPr>
          <w:rFonts w:ascii="Calibri" w:hAnsi="Calibri" w:cs="Calibri"/>
          <w:bCs/>
          <w:szCs w:val="24"/>
        </w:rPr>
        <w:t xml:space="preserve"> intensive monitoring, supervision, structure, support and skill building opportunities for youth in aftercare status</w:t>
      </w:r>
      <w:r w:rsidR="00D26A7A">
        <w:rPr>
          <w:rFonts w:ascii="Calibri" w:hAnsi="Calibri"/>
        </w:rPr>
        <w:t>; and</w:t>
      </w:r>
    </w:p>
    <w:p w:rsidR="00D26A7A" w:rsidRDefault="00D26A7A">
      <w:pPr>
        <w:pStyle w:val="BodyText"/>
        <w:tabs>
          <w:tab w:val="clear" w:pos="0"/>
        </w:tabs>
        <w:rPr>
          <w:rFonts w:ascii="Calibri" w:hAnsi="Calibri"/>
        </w:rPr>
      </w:pPr>
    </w:p>
    <w:p w:rsidR="00D26A7A" w:rsidRPr="00337F9C" w:rsidRDefault="00D26A7A" w:rsidP="000E0F5A">
      <w:pPr>
        <w:pStyle w:val="BodyText"/>
        <w:tabs>
          <w:tab w:val="clear" w:pos="0"/>
        </w:tabs>
        <w:ind w:firstLine="720"/>
        <w:rPr>
          <w:rFonts w:ascii="Calibri" w:hAnsi="Calibri" w:cs="Calibri"/>
          <w:bCs/>
          <w:szCs w:val="24"/>
        </w:rPr>
      </w:pPr>
      <w:r w:rsidRPr="00337F9C">
        <w:rPr>
          <w:rFonts w:ascii="Calibri" w:hAnsi="Calibri" w:cs="Calibri"/>
          <w:bCs/>
          <w:szCs w:val="24"/>
        </w:rPr>
        <w:t>WHEREAS</w:t>
      </w:r>
      <w:r w:rsidR="00337F9C">
        <w:rPr>
          <w:rFonts w:ascii="Calibri" w:hAnsi="Calibri" w:cs="Calibri"/>
          <w:bCs/>
          <w:szCs w:val="24"/>
        </w:rPr>
        <w:t>, d</w:t>
      </w:r>
      <w:r w:rsidR="00337F9C" w:rsidRPr="00337F9C">
        <w:rPr>
          <w:rFonts w:ascii="Calibri" w:hAnsi="Calibri" w:cs="Calibri"/>
          <w:bCs/>
          <w:szCs w:val="24"/>
        </w:rPr>
        <w:t>ue to the high level of monitoring</w:t>
      </w:r>
      <w:r w:rsidR="002F4DF7">
        <w:rPr>
          <w:rFonts w:ascii="Calibri" w:hAnsi="Calibri" w:cs="Calibri"/>
          <w:bCs/>
          <w:szCs w:val="24"/>
        </w:rPr>
        <w:t xml:space="preserve"> (</w:t>
      </w:r>
      <w:r w:rsidR="00337F9C" w:rsidRPr="00337F9C">
        <w:rPr>
          <w:rFonts w:ascii="Calibri" w:hAnsi="Calibri" w:cs="Calibri"/>
          <w:bCs/>
          <w:szCs w:val="24"/>
        </w:rPr>
        <w:t xml:space="preserve">to include </w:t>
      </w:r>
      <w:r w:rsidR="00337F9C" w:rsidRPr="001B0D7D">
        <w:rPr>
          <w:rFonts w:ascii="Calibri" w:hAnsi="Calibri" w:cs="Calibri"/>
          <w:bCs/>
          <w:szCs w:val="24"/>
        </w:rPr>
        <w:t>Global Positioning System</w:t>
      </w:r>
      <w:r w:rsidR="00337F9C">
        <w:rPr>
          <w:rFonts w:ascii="Calibri" w:hAnsi="Calibri" w:cs="Calibri"/>
          <w:bCs/>
          <w:szCs w:val="24"/>
        </w:rPr>
        <w:t xml:space="preserve"> (GPS)</w:t>
      </w:r>
      <w:r w:rsidR="00337F9C" w:rsidRPr="00337F9C">
        <w:rPr>
          <w:rFonts w:ascii="Calibri" w:hAnsi="Calibri" w:cs="Calibri"/>
          <w:bCs/>
          <w:szCs w:val="24"/>
        </w:rPr>
        <w:t xml:space="preserve"> monitoring</w:t>
      </w:r>
      <w:r w:rsidR="002F4DF7">
        <w:rPr>
          <w:rFonts w:ascii="Calibri" w:hAnsi="Calibri" w:cs="Calibri"/>
          <w:bCs/>
          <w:szCs w:val="24"/>
        </w:rPr>
        <w:t>)</w:t>
      </w:r>
      <w:r w:rsidR="00337F9C" w:rsidRPr="00337F9C">
        <w:rPr>
          <w:rFonts w:ascii="Calibri" w:hAnsi="Calibri" w:cs="Calibri"/>
          <w:bCs/>
          <w:szCs w:val="24"/>
        </w:rPr>
        <w:t xml:space="preserve">, services, </w:t>
      </w:r>
      <w:r w:rsidR="006C49D8">
        <w:rPr>
          <w:rFonts w:ascii="Calibri" w:hAnsi="Calibri" w:cs="Calibri"/>
          <w:bCs/>
          <w:szCs w:val="24"/>
        </w:rPr>
        <w:t xml:space="preserve">and support </w:t>
      </w:r>
      <w:r w:rsidR="00337F9C" w:rsidRPr="00337F9C">
        <w:rPr>
          <w:rFonts w:ascii="Calibri" w:hAnsi="Calibri" w:cs="Calibri"/>
          <w:bCs/>
          <w:szCs w:val="24"/>
        </w:rPr>
        <w:t>for the highest risk youth within DCSD, the costs to operate this program were higher than anticipated</w:t>
      </w:r>
      <w:r w:rsidR="006C49D8">
        <w:rPr>
          <w:rFonts w:ascii="Calibri" w:hAnsi="Calibri" w:cs="Calibri"/>
          <w:bCs/>
          <w:szCs w:val="24"/>
        </w:rPr>
        <w:t xml:space="preserve"> and </w:t>
      </w:r>
      <w:r w:rsidR="00337F9C" w:rsidRPr="00337F9C">
        <w:rPr>
          <w:rFonts w:ascii="Calibri" w:hAnsi="Calibri" w:cs="Calibri"/>
          <w:bCs/>
          <w:szCs w:val="24"/>
        </w:rPr>
        <w:t xml:space="preserve">an additional $40,000 </w:t>
      </w:r>
      <w:r w:rsidR="006C49D8">
        <w:rPr>
          <w:rFonts w:ascii="Calibri" w:hAnsi="Calibri" w:cs="Calibri"/>
          <w:bCs/>
          <w:szCs w:val="24"/>
        </w:rPr>
        <w:t xml:space="preserve">is needed </w:t>
      </w:r>
      <w:r w:rsidR="00337F9C" w:rsidRPr="00337F9C">
        <w:rPr>
          <w:rFonts w:ascii="Calibri" w:hAnsi="Calibri" w:cs="Calibri"/>
          <w:bCs/>
          <w:szCs w:val="24"/>
        </w:rPr>
        <w:t xml:space="preserve">to </w:t>
      </w:r>
      <w:r w:rsidR="006C49D8">
        <w:rPr>
          <w:rFonts w:ascii="Calibri" w:hAnsi="Calibri" w:cs="Calibri"/>
          <w:bCs/>
          <w:szCs w:val="24"/>
        </w:rPr>
        <w:t>support</w:t>
      </w:r>
      <w:r w:rsidR="00337F9C" w:rsidRPr="00337F9C">
        <w:rPr>
          <w:rFonts w:ascii="Calibri" w:hAnsi="Calibri" w:cs="Calibri"/>
          <w:bCs/>
          <w:szCs w:val="24"/>
        </w:rPr>
        <w:t xml:space="preserve"> </w:t>
      </w:r>
      <w:r w:rsidR="006C49D8">
        <w:rPr>
          <w:rFonts w:ascii="Calibri" w:hAnsi="Calibri" w:cs="Calibri"/>
          <w:bCs/>
          <w:szCs w:val="24"/>
        </w:rPr>
        <w:t xml:space="preserve">costs associated with the </w:t>
      </w:r>
      <w:r w:rsidR="00337F9C" w:rsidRPr="00337F9C">
        <w:rPr>
          <w:rFonts w:ascii="Calibri" w:hAnsi="Calibri" w:cs="Calibri"/>
          <w:bCs/>
          <w:szCs w:val="24"/>
        </w:rPr>
        <w:t>staffing of advocates and sup</w:t>
      </w:r>
      <w:r w:rsidR="006C49D8">
        <w:rPr>
          <w:rFonts w:ascii="Calibri" w:hAnsi="Calibri" w:cs="Calibri"/>
          <w:bCs/>
          <w:szCs w:val="24"/>
        </w:rPr>
        <w:t>ervisors, administration</w:t>
      </w:r>
      <w:r w:rsidR="00337F9C" w:rsidRPr="00337F9C">
        <w:rPr>
          <w:rFonts w:ascii="Calibri" w:hAnsi="Calibri" w:cs="Calibri"/>
          <w:bCs/>
          <w:szCs w:val="24"/>
        </w:rPr>
        <w:t xml:space="preserve"> and additional services provided within this program</w:t>
      </w:r>
      <w:r w:rsidR="000E0F5A" w:rsidRPr="00337F9C">
        <w:rPr>
          <w:rFonts w:ascii="Calibri" w:hAnsi="Calibri" w:cs="Calibri"/>
          <w:bCs/>
          <w:szCs w:val="24"/>
        </w:rPr>
        <w:t xml:space="preserve">; </w:t>
      </w:r>
      <w:r w:rsidR="000F773A" w:rsidRPr="00337F9C">
        <w:rPr>
          <w:rFonts w:ascii="Calibri" w:hAnsi="Calibri" w:cs="Calibri"/>
          <w:bCs/>
          <w:szCs w:val="24"/>
        </w:rPr>
        <w:t>now, therefore,</w:t>
      </w:r>
    </w:p>
    <w:p w:rsidR="00D26A7A" w:rsidRDefault="00D26A7A">
      <w:pPr>
        <w:ind w:firstLine="720"/>
        <w:jc w:val="both"/>
        <w:rPr>
          <w:rFonts w:ascii="Calibri" w:hAnsi="Calibri"/>
        </w:rPr>
      </w:pPr>
    </w:p>
    <w:p w:rsidR="00D26A7A" w:rsidRDefault="00D26A7A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BE IT RESOLVED, that the </w:t>
      </w:r>
      <w:r w:rsidR="00D247AB">
        <w:rPr>
          <w:rFonts w:ascii="Calibri" w:hAnsi="Calibri"/>
        </w:rPr>
        <w:t xml:space="preserve">Interim </w:t>
      </w:r>
      <w:r>
        <w:rPr>
          <w:rFonts w:ascii="Calibri" w:hAnsi="Calibri"/>
        </w:rPr>
        <w:t>Director, Department of Hea</w:t>
      </w:r>
      <w:r w:rsidR="000F773A">
        <w:rPr>
          <w:rFonts w:ascii="Calibri" w:hAnsi="Calibri"/>
        </w:rPr>
        <w:t>lth and Human Services, or h</w:t>
      </w:r>
      <w:r w:rsidR="00D247AB">
        <w:rPr>
          <w:rFonts w:ascii="Calibri" w:hAnsi="Calibri"/>
        </w:rPr>
        <w:t>er</w:t>
      </w:r>
      <w:r w:rsidR="000F77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designee, is hereby authorized to </w:t>
      </w:r>
      <w:r w:rsidR="006C49D8">
        <w:rPr>
          <w:rFonts w:ascii="Calibri" w:hAnsi="Calibri"/>
        </w:rPr>
        <w:t xml:space="preserve">retroactively amend the following </w:t>
      </w:r>
      <w:r>
        <w:rPr>
          <w:rFonts w:ascii="Calibri" w:hAnsi="Calibri"/>
        </w:rPr>
        <w:t>p</w:t>
      </w:r>
      <w:r w:rsidR="00002B45">
        <w:rPr>
          <w:rFonts w:ascii="Calibri" w:hAnsi="Calibri"/>
        </w:rPr>
        <w:t>urchase of</w:t>
      </w:r>
      <w:r>
        <w:rPr>
          <w:rFonts w:ascii="Calibri" w:hAnsi="Calibri"/>
        </w:rPr>
        <w:t xml:space="preserve"> service contract for the period </w:t>
      </w:r>
      <w:r w:rsidR="006C49D8">
        <w:rPr>
          <w:rFonts w:ascii="Calibri" w:hAnsi="Calibri"/>
        </w:rPr>
        <w:t>July</w:t>
      </w:r>
      <w:r w:rsidR="000F773A">
        <w:rPr>
          <w:rFonts w:ascii="Calibri" w:hAnsi="Calibri"/>
        </w:rPr>
        <w:t xml:space="preserve"> 1 through December 31, </w:t>
      </w:r>
      <w:r w:rsidR="00D247AB">
        <w:rPr>
          <w:rFonts w:ascii="Calibri" w:hAnsi="Calibri"/>
        </w:rPr>
        <w:t>201</w:t>
      </w:r>
      <w:r w:rsidR="006C49D8">
        <w:rPr>
          <w:rFonts w:ascii="Calibri" w:hAnsi="Calibri"/>
        </w:rPr>
        <w:t>7</w:t>
      </w:r>
      <w:r w:rsidR="000F77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the amount </w:t>
      </w:r>
      <w:r w:rsidR="003C51EE">
        <w:rPr>
          <w:rFonts w:ascii="Calibri" w:hAnsi="Calibri"/>
        </w:rPr>
        <w:t xml:space="preserve">and with the provider </w:t>
      </w:r>
      <w:r>
        <w:rPr>
          <w:rFonts w:ascii="Calibri" w:hAnsi="Calibri"/>
        </w:rPr>
        <w:t>listed below:</w:t>
      </w:r>
    </w:p>
    <w:p w:rsidR="000F773A" w:rsidRPr="000E0F5A" w:rsidRDefault="000F773A">
      <w:pPr>
        <w:spacing w:line="360" w:lineRule="atLeast"/>
        <w:rPr>
          <w:rFonts w:ascii="Calibri" w:hAnsi="Calibri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155"/>
        <w:gridCol w:w="1620"/>
        <w:gridCol w:w="1890"/>
        <w:gridCol w:w="2070"/>
        <w:gridCol w:w="1620"/>
      </w:tblGrid>
      <w:tr w:rsidR="005D6D3C" w:rsidRPr="00A63104" w:rsidTr="00D736C9">
        <w:trPr>
          <w:trHeight w:val="34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3C" w:rsidRPr="00A63104" w:rsidRDefault="005D6D3C" w:rsidP="00A63104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bookmarkStart w:id="0" w:name="OLE_LINK1"/>
            <w:r w:rsidRPr="00A63104">
              <w:rPr>
                <w:rFonts w:ascii="Calibri" w:hAnsi="Calibri"/>
                <w:b/>
                <w:bCs/>
                <w:color w:val="000000"/>
                <w:szCs w:val="24"/>
              </w:rPr>
              <w:t>Provider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3C" w:rsidRPr="00A63104" w:rsidRDefault="005D6D3C" w:rsidP="00A63104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A63104">
              <w:rPr>
                <w:rFonts w:ascii="Calibri" w:hAnsi="Calibri"/>
                <w:b/>
                <w:bCs/>
                <w:color w:val="000000"/>
                <w:szCs w:val="24"/>
              </w:rPr>
              <w:t>Service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D3C" w:rsidRPr="00A63104" w:rsidRDefault="005D6D3C" w:rsidP="005D6D3C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2017</w:t>
            </w:r>
            <w:r w:rsidRPr="00A63104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Contract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D3C" w:rsidRDefault="005D6D3C" w:rsidP="00A63104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Amendment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D3C" w:rsidRDefault="005D6D3C" w:rsidP="005D6D3C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2017 Adjusted Contract</w:t>
            </w:r>
          </w:p>
        </w:tc>
      </w:tr>
      <w:tr w:rsidR="005D6D3C" w:rsidRPr="004E4455" w:rsidTr="00D736C9">
        <w:trPr>
          <w:trHeight w:val="11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3C" w:rsidRPr="004E4455" w:rsidRDefault="005D6D3C" w:rsidP="004E4455">
            <w:pPr>
              <w:rPr>
                <w:rFonts w:ascii="Calibri" w:hAnsi="Calibri"/>
                <w:color w:val="000000"/>
                <w:szCs w:val="24"/>
              </w:rPr>
            </w:pPr>
            <w:r w:rsidRPr="004E4455">
              <w:rPr>
                <w:rFonts w:ascii="Calibri" w:hAnsi="Calibri"/>
                <w:color w:val="000000"/>
                <w:szCs w:val="24"/>
              </w:rPr>
              <w:t>Running Rebels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3C" w:rsidRPr="004E4455" w:rsidRDefault="005D6D3C" w:rsidP="004E4455">
            <w:pPr>
              <w:rPr>
                <w:rFonts w:ascii="Calibri" w:hAnsi="Calibri"/>
                <w:color w:val="000000"/>
                <w:szCs w:val="24"/>
              </w:rPr>
            </w:pPr>
            <w:r w:rsidRPr="004E4455">
              <w:rPr>
                <w:rFonts w:ascii="Calibri" w:hAnsi="Calibri"/>
                <w:color w:val="000000"/>
                <w:szCs w:val="24"/>
              </w:rPr>
              <w:t>IMP-Aftercare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3C" w:rsidRPr="004E4455" w:rsidRDefault="006C49D8" w:rsidP="00D32ED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 w:rsidRPr="008365B0">
              <w:rPr>
                <w:rFonts w:ascii="Calibri" w:hAnsi="Calibri" w:cs="Calibri"/>
                <w:szCs w:val="24"/>
              </w:rPr>
              <w:t>$</w:t>
            </w:r>
            <w:r>
              <w:rPr>
                <w:rFonts w:ascii="Calibri" w:hAnsi="Calibri" w:cs="Calibri"/>
                <w:szCs w:val="24"/>
              </w:rPr>
              <w:t>2,</w:t>
            </w:r>
            <w:r w:rsidR="00D32ED0">
              <w:rPr>
                <w:rFonts w:ascii="Calibri" w:hAnsi="Calibri" w:cs="Calibri"/>
                <w:szCs w:val="24"/>
              </w:rPr>
              <w:t>000</w:t>
            </w:r>
            <w:r>
              <w:rPr>
                <w:rFonts w:ascii="Calibri" w:hAnsi="Calibri" w:cs="Calibri"/>
                <w:szCs w:val="24"/>
              </w:rPr>
              <w:t xml:space="preserve">,000 </w:t>
            </w:r>
            <w:r w:rsidR="005D6D3C" w:rsidRPr="004E4455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D3C" w:rsidRPr="004E4455" w:rsidRDefault="006C49D8" w:rsidP="004E4455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$40,000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D3C" w:rsidRPr="004E4455" w:rsidRDefault="006C49D8" w:rsidP="00D32ED0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$2,</w:t>
            </w:r>
            <w:r w:rsidR="00D32ED0">
              <w:rPr>
                <w:rFonts w:ascii="Calibri" w:hAnsi="Calibri"/>
                <w:color w:val="000000"/>
                <w:szCs w:val="24"/>
              </w:rPr>
              <w:t>040</w:t>
            </w:r>
            <w:r>
              <w:rPr>
                <w:rFonts w:ascii="Calibri" w:hAnsi="Calibri"/>
                <w:color w:val="000000"/>
                <w:szCs w:val="24"/>
              </w:rPr>
              <w:t>,000</w:t>
            </w:r>
          </w:p>
        </w:tc>
      </w:tr>
      <w:tr w:rsidR="005D6D3C" w:rsidRPr="00A63104" w:rsidTr="00D736C9">
        <w:trPr>
          <w:trHeight w:val="11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3C" w:rsidRPr="004E4455" w:rsidRDefault="005D6D3C" w:rsidP="00132309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3C" w:rsidRPr="006C49D8" w:rsidRDefault="005D6D3C" w:rsidP="00132309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C49D8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D3C" w:rsidRPr="006C49D8" w:rsidRDefault="006C49D8" w:rsidP="00D32ED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C49D8">
              <w:rPr>
                <w:rFonts w:ascii="Calibri" w:hAnsi="Calibri" w:cs="Calibri"/>
                <w:b/>
                <w:szCs w:val="24"/>
              </w:rPr>
              <w:t>$2,</w:t>
            </w:r>
            <w:r w:rsidR="00D32ED0">
              <w:rPr>
                <w:rFonts w:ascii="Calibri" w:hAnsi="Calibri" w:cs="Calibri"/>
                <w:b/>
                <w:szCs w:val="24"/>
              </w:rPr>
              <w:t>000</w:t>
            </w:r>
            <w:r w:rsidRPr="006C49D8">
              <w:rPr>
                <w:rFonts w:ascii="Calibri" w:hAnsi="Calibri" w:cs="Calibri"/>
                <w:b/>
                <w:szCs w:val="24"/>
              </w:rPr>
              <w:t>,000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D3C" w:rsidRPr="006C49D8" w:rsidRDefault="006C49D8" w:rsidP="00131CBF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$40,000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D3C" w:rsidRPr="006C49D8" w:rsidRDefault="006C49D8" w:rsidP="00D32ED0">
            <w:pPr>
              <w:jc w:val="right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$2,</w:t>
            </w:r>
            <w:r w:rsidR="00D32ED0">
              <w:rPr>
                <w:rFonts w:ascii="Calibri" w:hAnsi="Calibri"/>
                <w:b/>
                <w:bCs/>
                <w:color w:val="000000"/>
                <w:szCs w:val="24"/>
              </w:rPr>
              <w:t>040</w:t>
            </w:r>
            <w:bookmarkStart w:id="1" w:name="_GoBack"/>
            <w:bookmarkEnd w:id="1"/>
            <w:r>
              <w:rPr>
                <w:rFonts w:ascii="Calibri" w:hAnsi="Calibri"/>
                <w:b/>
                <w:bCs/>
                <w:color w:val="000000"/>
                <w:szCs w:val="24"/>
              </w:rPr>
              <w:t>,000</w:t>
            </w:r>
          </w:p>
        </w:tc>
      </w:tr>
    </w:tbl>
    <w:p w:rsidR="00D26A7A" w:rsidRPr="000E0F5A" w:rsidRDefault="00002B45" w:rsidP="00AF56D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bookmarkEnd w:id="0"/>
    <w:p w:rsidR="00002B45" w:rsidRPr="00FA5DFD" w:rsidRDefault="00002B45">
      <w:pPr>
        <w:rPr>
          <w:rFonts w:ascii="Calibri" w:hAnsi="Calibri"/>
          <w:b/>
        </w:rPr>
      </w:pPr>
    </w:p>
    <w:sectPr w:rsidR="00002B45" w:rsidRPr="00FA5DFD" w:rsidSect="00E47556">
      <w:pgSz w:w="12240" w:h="15840" w:code="1"/>
      <w:pgMar w:top="720" w:right="1440" w:bottom="720" w:left="1440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9CA"/>
    <w:multiLevelType w:val="singleLevel"/>
    <w:tmpl w:val="0A56FF4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21"/>
    <w:rsid w:val="00002B45"/>
    <w:rsid w:val="0009714B"/>
    <w:rsid w:val="000A40DE"/>
    <w:rsid w:val="000D39A5"/>
    <w:rsid w:val="000E0F5A"/>
    <w:rsid w:val="000F773A"/>
    <w:rsid w:val="00131CBF"/>
    <w:rsid w:val="00132309"/>
    <w:rsid w:val="00154500"/>
    <w:rsid w:val="001F0A2E"/>
    <w:rsid w:val="00234787"/>
    <w:rsid w:val="00247026"/>
    <w:rsid w:val="00255A21"/>
    <w:rsid w:val="002E47FB"/>
    <w:rsid w:val="002F4DF7"/>
    <w:rsid w:val="003122DF"/>
    <w:rsid w:val="00337F9C"/>
    <w:rsid w:val="00370C57"/>
    <w:rsid w:val="003C51EE"/>
    <w:rsid w:val="0043676D"/>
    <w:rsid w:val="0047540E"/>
    <w:rsid w:val="004E4455"/>
    <w:rsid w:val="00503350"/>
    <w:rsid w:val="00587149"/>
    <w:rsid w:val="005A583E"/>
    <w:rsid w:val="005D6D3C"/>
    <w:rsid w:val="00621211"/>
    <w:rsid w:val="006C49D8"/>
    <w:rsid w:val="006F12BD"/>
    <w:rsid w:val="006F43F6"/>
    <w:rsid w:val="00735D06"/>
    <w:rsid w:val="007A50EA"/>
    <w:rsid w:val="007B21D3"/>
    <w:rsid w:val="00821790"/>
    <w:rsid w:val="008265FA"/>
    <w:rsid w:val="008A0292"/>
    <w:rsid w:val="008C16EC"/>
    <w:rsid w:val="009853C4"/>
    <w:rsid w:val="00997B3E"/>
    <w:rsid w:val="00A134D4"/>
    <w:rsid w:val="00A63104"/>
    <w:rsid w:val="00AC4311"/>
    <w:rsid w:val="00AD17C4"/>
    <w:rsid w:val="00AE16AE"/>
    <w:rsid w:val="00AF56D5"/>
    <w:rsid w:val="00B92A57"/>
    <w:rsid w:val="00BC6F7C"/>
    <w:rsid w:val="00CD230E"/>
    <w:rsid w:val="00CF42D7"/>
    <w:rsid w:val="00D247AB"/>
    <w:rsid w:val="00D26A7A"/>
    <w:rsid w:val="00D32ED0"/>
    <w:rsid w:val="00D50DC9"/>
    <w:rsid w:val="00D736C9"/>
    <w:rsid w:val="00DF0C21"/>
    <w:rsid w:val="00E36473"/>
    <w:rsid w:val="00E47556"/>
    <w:rsid w:val="00FA5DFD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33B81-82C9-46EB-AE85-C4404CDF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O'Brien, Clare</cp:lastModifiedBy>
  <cp:revision>9</cp:revision>
  <cp:lastPrinted>2016-11-14T21:47:00Z</cp:lastPrinted>
  <dcterms:created xsi:type="dcterms:W3CDTF">2017-12-26T15:57:00Z</dcterms:created>
  <dcterms:modified xsi:type="dcterms:W3CDTF">2017-12-28T19:55:00Z</dcterms:modified>
</cp:coreProperties>
</file>