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FE" w:rsidRDefault="000A1CA5">
      <w:pPr>
        <w:jc w:val="right"/>
      </w:pPr>
      <w:r>
        <w:t>F</w:t>
      </w:r>
      <w:r w:rsidR="004512FE">
        <w:t xml:space="preserve">ile No. </w:t>
      </w:r>
    </w:p>
    <w:p w:rsidR="004512FE" w:rsidRDefault="004512FE">
      <w:pPr>
        <w:jc w:val="right"/>
      </w:pPr>
      <w:r>
        <w:t>(Journal, )</w:t>
      </w:r>
    </w:p>
    <w:p w:rsidR="004512FE" w:rsidRDefault="004512FE">
      <w:pPr>
        <w:tabs>
          <w:tab w:val="left" w:pos="720"/>
        </w:tabs>
      </w:pPr>
    </w:p>
    <w:p w:rsidR="004512FE" w:rsidRDefault="004512FE">
      <w:pPr>
        <w:tabs>
          <w:tab w:val="left" w:pos="720"/>
        </w:tabs>
      </w:pPr>
    </w:p>
    <w:p w:rsidR="004512FE" w:rsidRPr="0032743F" w:rsidRDefault="004512FE">
      <w:pPr>
        <w:jc w:val="both"/>
        <w:rPr>
          <w:rFonts w:cs="Arial"/>
        </w:rPr>
      </w:pPr>
      <w:r>
        <w:t xml:space="preserve">(ITEM) </w:t>
      </w:r>
      <w:r w:rsidR="004C383B" w:rsidRPr="004C383B">
        <w:t xml:space="preserve">From the </w:t>
      </w:r>
      <w:r w:rsidR="000A1CA5">
        <w:t xml:space="preserve">Interim </w:t>
      </w:r>
      <w:r w:rsidR="004C383B" w:rsidRPr="004C383B">
        <w:t xml:space="preserve">Director, Department of Health and Human Services, requesting authorization to renew Substance Abuse and Mental Health Services Administration (SAMHSA) purchase of service and professional service contracts </w:t>
      </w:r>
      <w:r w:rsidR="00803ED5">
        <w:t>in</w:t>
      </w:r>
      <w:r w:rsidR="004C383B" w:rsidRPr="004C383B">
        <w:t xml:space="preserve"> the Housing Division</w:t>
      </w:r>
      <w:r w:rsidR="00A57862">
        <w:t>,</w:t>
      </w:r>
      <w:r w:rsidR="00A57862" w:rsidRPr="00A57862">
        <w:rPr>
          <w:szCs w:val="24"/>
        </w:rPr>
        <w:t xml:space="preserve"> </w:t>
      </w:r>
      <w:r w:rsidR="00A57862" w:rsidRPr="009F42C5">
        <w:rPr>
          <w:szCs w:val="24"/>
        </w:rPr>
        <w:t>by recommending adoption of the following</w:t>
      </w:r>
      <w:r w:rsidRPr="0032743F">
        <w:rPr>
          <w:rFonts w:cs="Arial"/>
        </w:rPr>
        <w:t>:</w:t>
      </w:r>
    </w:p>
    <w:p w:rsidR="004512FE" w:rsidRDefault="004512FE"/>
    <w:p w:rsidR="004512FE" w:rsidRDefault="004512FE">
      <w:pPr>
        <w:pStyle w:val="Heading1"/>
      </w:pPr>
      <w:r>
        <w:t>A RESOLUTION</w:t>
      </w:r>
    </w:p>
    <w:p w:rsidR="004512FE" w:rsidRDefault="004512FE" w:rsidP="00171E51">
      <w:pPr>
        <w:jc w:val="both"/>
      </w:pPr>
      <w:r>
        <w:t xml:space="preserve"> </w:t>
      </w:r>
    </w:p>
    <w:p w:rsidR="00A57862" w:rsidRDefault="004512FE">
      <w:pPr>
        <w:pStyle w:val="BodyText"/>
        <w:tabs>
          <w:tab w:val="clear" w:pos="0"/>
        </w:tabs>
      </w:pPr>
      <w:r>
        <w:tab/>
      </w:r>
      <w:r w:rsidR="00A57862">
        <w:t>WHEREAS,</w:t>
      </w:r>
      <w:r w:rsidR="00A57862">
        <w:t xml:space="preserve"> </w:t>
      </w:r>
      <w:r w:rsidR="00A57862" w:rsidRPr="00A57862">
        <w:t>i</w:t>
      </w:r>
      <w:r w:rsidR="00A57862" w:rsidRPr="00A57862">
        <w:t xml:space="preserve">n 2016, the Housing Division was awarded a three-year SAMHSA grant </w:t>
      </w:r>
      <w:r w:rsidR="006B72E5">
        <w:t>totaling</w:t>
      </w:r>
      <w:r w:rsidR="00A57862" w:rsidRPr="00A57862">
        <w:t xml:space="preserve"> $2.4 million to expand the Housing Divi</w:t>
      </w:r>
      <w:r w:rsidR="00A57862">
        <w:t>sion’s Housing First Initiative; and</w:t>
      </w:r>
      <w:r w:rsidR="00A57862" w:rsidRPr="00A57862">
        <w:t xml:space="preserve">  </w:t>
      </w:r>
    </w:p>
    <w:p w:rsidR="00A57862" w:rsidRDefault="00A57862">
      <w:pPr>
        <w:pStyle w:val="BodyText"/>
        <w:tabs>
          <w:tab w:val="clear" w:pos="0"/>
        </w:tabs>
      </w:pPr>
    </w:p>
    <w:p w:rsidR="00A57862" w:rsidRDefault="00A57862" w:rsidP="00A57862">
      <w:pPr>
        <w:pStyle w:val="BodyText"/>
        <w:tabs>
          <w:tab w:val="clear" w:pos="0"/>
        </w:tabs>
        <w:ind w:firstLine="720"/>
      </w:pPr>
      <w:r>
        <w:t xml:space="preserve">WHEREAS, </w:t>
      </w:r>
      <w:r>
        <w:t>the grant provides $800,000 in funding each year to increase</w:t>
      </w:r>
      <w:r w:rsidRPr="00A57862">
        <w:t xml:space="preserve"> capacity and coordination efforts to address homelessness in Milwaukee as well as </w:t>
      </w:r>
      <w:r>
        <w:t xml:space="preserve">expand and enhance the Housing Division’s </w:t>
      </w:r>
      <w:r w:rsidRPr="00A57862">
        <w:t>existing Housing First program</w:t>
      </w:r>
      <w:r>
        <w:t>; and</w:t>
      </w:r>
    </w:p>
    <w:p w:rsidR="00A57862" w:rsidRDefault="00A57862" w:rsidP="00A57862">
      <w:pPr>
        <w:pStyle w:val="BodyText"/>
        <w:tabs>
          <w:tab w:val="clear" w:pos="0"/>
        </w:tabs>
      </w:pPr>
    </w:p>
    <w:p w:rsidR="00A57862" w:rsidRDefault="00A57862" w:rsidP="00A57862">
      <w:pPr>
        <w:pStyle w:val="BodyText"/>
        <w:tabs>
          <w:tab w:val="clear" w:pos="0"/>
        </w:tabs>
        <w:ind w:firstLine="720"/>
      </w:pPr>
      <w:r>
        <w:t>WHEREAS, in order to continue to serve homeless and chronically homeless individuals and families, the Housing Division is requesting the renewal of several</w:t>
      </w:r>
      <w:r w:rsidRPr="004C383B">
        <w:t xml:space="preserve"> purchase of service and professional service contracts</w:t>
      </w:r>
      <w:r>
        <w:t>; and</w:t>
      </w:r>
    </w:p>
    <w:p w:rsidR="00A57862" w:rsidRDefault="00A57862">
      <w:pPr>
        <w:pStyle w:val="BodyText"/>
        <w:tabs>
          <w:tab w:val="clear" w:pos="0"/>
        </w:tabs>
      </w:pPr>
    </w:p>
    <w:p w:rsidR="004512FE" w:rsidRDefault="004512FE" w:rsidP="00A57862">
      <w:pPr>
        <w:pStyle w:val="BodyText"/>
        <w:tabs>
          <w:tab w:val="clear" w:pos="0"/>
        </w:tabs>
        <w:ind w:firstLine="720"/>
      </w:pPr>
      <w:r>
        <w:t xml:space="preserve">WHEREAS, the contract recommendations are within the limits of </w:t>
      </w:r>
      <w:r w:rsidR="004C383B">
        <w:t>the SAMHSA grant budget</w:t>
      </w:r>
      <w:r>
        <w:t>; now, therefore,</w:t>
      </w:r>
    </w:p>
    <w:p w:rsidR="004512FE" w:rsidRDefault="004512FE">
      <w:pPr>
        <w:jc w:val="both"/>
      </w:pPr>
    </w:p>
    <w:p w:rsidR="004512FE" w:rsidRDefault="004512FE">
      <w:pPr>
        <w:pStyle w:val="BodyText"/>
        <w:tabs>
          <w:tab w:val="clear" w:pos="0"/>
          <w:tab w:val="left" w:pos="720"/>
          <w:tab w:val="left" w:pos="2700"/>
        </w:tabs>
      </w:pPr>
      <w:r>
        <w:tab/>
        <w:t xml:space="preserve">BE IT RESOLVED, that the Milwaukee County Board of Supervisors does hereby authorize and direct the </w:t>
      </w:r>
      <w:r w:rsidR="000A1CA5">
        <w:t xml:space="preserve">Interim </w:t>
      </w:r>
      <w:r>
        <w:t>Director of the Department of Health and Human Services, or h</w:t>
      </w:r>
      <w:r w:rsidR="000A1CA5">
        <w:t>er</w:t>
      </w:r>
      <w:r>
        <w:t xml:space="preserve"> designee, to </w:t>
      </w:r>
      <w:r w:rsidR="004C383B">
        <w:t xml:space="preserve">renew SAMHSA purchase of service and professional service </w:t>
      </w:r>
      <w:r w:rsidR="006B72E5">
        <w:t xml:space="preserve">contracts </w:t>
      </w:r>
      <w:bookmarkStart w:id="0" w:name="_GoBack"/>
      <w:bookmarkEnd w:id="0"/>
      <w:r w:rsidR="004C383B">
        <w:t>in the Housing Division</w:t>
      </w:r>
      <w:r>
        <w:t xml:space="preserve">, effective </w:t>
      </w:r>
      <w:r w:rsidR="004C383B">
        <w:t>October</w:t>
      </w:r>
      <w:r>
        <w:t xml:space="preserve"> 1, 201</w:t>
      </w:r>
      <w:r w:rsidR="008C0C55">
        <w:t>7</w:t>
      </w:r>
      <w:r>
        <w:t xml:space="preserve"> to </w:t>
      </w:r>
      <w:r w:rsidR="004C383B">
        <w:t>September 30</w:t>
      </w:r>
      <w:r>
        <w:t>, 201</w:t>
      </w:r>
      <w:r w:rsidR="004C383B">
        <w:t>8</w:t>
      </w:r>
      <w:r>
        <w:t>, with the agencies and in the amounts listed below:</w:t>
      </w:r>
    </w:p>
    <w:p w:rsidR="008D06EA" w:rsidRDefault="008D06EA" w:rsidP="008D06EA">
      <w:bookmarkStart w:id="1" w:name="OLE_LINK2"/>
      <w:bookmarkStart w:id="2" w:name="OLE_LINK1"/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2680"/>
        <w:gridCol w:w="1614"/>
        <w:gridCol w:w="1776"/>
        <w:gridCol w:w="1653"/>
      </w:tblGrid>
      <w:tr w:rsidR="000A1CA5" w:rsidRPr="000A1CA5" w:rsidTr="007A0D55">
        <w:trPr>
          <w:trHeight w:val="41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bookmarkEnd w:id="2"/>
          <w:p w:rsidR="000A1CA5" w:rsidRPr="000A1CA5" w:rsidRDefault="000A1CA5" w:rsidP="000A1CA5">
            <w:pPr>
              <w:rPr>
                <w:b/>
                <w:bCs/>
              </w:rPr>
            </w:pPr>
            <w:r w:rsidRPr="000A1CA5">
              <w:rPr>
                <w:b/>
                <w:bCs/>
              </w:rPr>
              <w:t>Service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pPr>
              <w:rPr>
                <w:b/>
                <w:bCs/>
              </w:rPr>
            </w:pPr>
            <w:r w:rsidRPr="000A1CA5">
              <w:rPr>
                <w:b/>
                <w:bCs/>
              </w:rPr>
              <w:t>Provider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pPr>
              <w:rPr>
                <w:b/>
                <w:bCs/>
              </w:rPr>
            </w:pPr>
            <w:r w:rsidRPr="000A1CA5">
              <w:rPr>
                <w:b/>
                <w:bCs/>
              </w:rPr>
              <w:t>2016 Allocation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pPr>
              <w:rPr>
                <w:b/>
                <w:bCs/>
              </w:rPr>
            </w:pPr>
            <w:r w:rsidRPr="000A1CA5">
              <w:rPr>
                <w:b/>
                <w:bCs/>
              </w:rPr>
              <w:t>2017 Allocation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pPr>
              <w:rPr>
                <w:b/>
                <w:bCs/>
              </w:rPr>
            </w:pPr>
            <w:r w:rsidRPr="000A1CA5">
              <w:rPr>
                <w:b/>
                <w:bCs/>
              </w:rPr>
              <w:t>2016/2017 Variance</w:t>
            </w:r>
          </w:p>
        </w:tc>
      </w:tr>
      <w:tr w:rsidR="000A1CA5" w:rsidRPr="000A1CA5" w:rsidTr="007A0D55">
        <w:trPr>
          <w:trHeight w:val="431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SAMHSA homeless Case Management</w:t>
            </w:r>
          </w:p>
          <w:p w:rsidR="000A1CA5" w:rsidRPr="000A1CA5" w:rsidRDefault="000A1CA5" w:rsidP="000A1CA5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Center for Veterans Issues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$72,876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$72,876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$0</w:t>
            </w:r>
          </w:p>
        </w:tc>
      </w:tr>
      <w:tr w:rsidR="000A1CA5" w:rsidRPr="000A1CA5" w:rsidTr="007A0D55">
        <w:trPr>
          <w:trHeight w:val="431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Guest House of Milwaukee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$55,647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$55,647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$0</w:t>
            </w:r>
          </w:p>
        </w:tc>
      </w:tr>
      <w:tr w:rsidR="000A1CA5" w:rsidRPr="000A1CA5" w:rsidTr="007A0D55">
        <w:trPr>
          <w:trHeight w:val="431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MCFI/Whole Health Clinical Group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$55,647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$55,647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$0</w:t>
            </w:r>
          </w:p>
        </w:tc>
      </w:tr>
      <w:tr w:rsidR="000A1CA5" w:rsidRPr="000A1CA5" w:rsidTr="007A0D55">
        <w:trPr>
          <w:trHeight w:val="431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SET Ministries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$55,647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$55,647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$0</w:t>
            </w:r>
          </w:p>
        </w:tc>
      </w:tr>
      <w:tr w:rsidR="000A1CA5" w:rsidRPr="000A1CA5" w:rsidTr="007A0D55">
        <w:trPr>
          <w:trHeight w:val="431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Wisconsin Community Services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$55,000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$55,000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$0</w:t>
            </w:r>
          </w:p>
        </w:tc>
      </w:tr>
      <w:tr w:rsidR="000A1CA5" w:rsidRPr="000A1CA5" w:rsidTr="007A0D55">
        <w:trPr>
          <w:trHeight w:val="431"/>
        </w:trPr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Training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Alma Center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$6,600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$6,600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$0</w:t>
            </w:r>
          </w:p>
        </w:tc>
      </w:tr>
      <w:tr w:rsidR="000A1CA5" w:rsidRPr="000A1CA5" w:rsidTr="007A0D55">
        <w:trPr>
          <w:trHeight w:val="431"/>
        </w:trPr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Peer Support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Center for Veterans Issues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$72,876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$72,876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$0</w:t>
            </w:r>
          </w:p>
        </w:tc>
      </w:tr>
      <w:tr w:rsidR="000A1CA5" w:rsidRPr="000A1CA5" w:rsidTr="007A0D55">
        <w:trPr>
          <w:trHeight w:val="431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Our Space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$50,000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$50,000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$0</w:t>
            </w:r>
          </w:p>
        </w:tc>
      </w:tr>
      <w:tr w:rsidR="000A1CA5" w:rsidRPr="000A1CA5" w:rsidTr="007A0D55">
        <w:trPr>
          <w:trHeight w:val="431"/>
        </w:trPr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Coordinated Entry Services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IMPACT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$90,000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$90,000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$0</w:t>
            </w:r>
          </w:p>
        </w:tc>
      </w:tr>
      <w:tr w:rsidR="000A1CA5" w:rsidRPr="000A1CA5" w:rsidTr="007A0D55">
        <w:trPr>
          <w:trHeight w:val="431"/>
        </w:trPr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Evaluation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UWM Helen Bader School of Social Work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$63,210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$63,210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r w:rsidRPr="000A1CA5">
              <w:t>$0</w:t>
            </w:r>
          </w:p>
        </w:tc>
      </w:tr>
      <w:tr w:rsidR="000A1CA5" w:rsidRPr="000A1CA5" w:rsidTr="007A0D55">
        <w:trPr>
          <w:trHeight w:val="431"/>
        </w:trPr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pPr>
              <w:rPr>
                <w:b/>
              </w:rPr>
            </w:pPr>
            <w:r w:rsidRPr="000A1CA5">
              <w:rPr>
                <w:b/>
              </w:rPr>
              <w:t>Grand Total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pPr>
              <w:rPr>
                <w:b/>
              </w:rPr>
            </w:pPr>
            <w:r w:rsidRPr="000A1CA5">
              <w:rPr>
                <w:b/>
              </w:rPr>
              <w:t>$577,503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pPr>
              <w:rPr>
                <w:b/>
              </w:rPr>
            </w:pPr>
            <w:r w:rsidRPr="000A1CA5">
              <w:rPr>
                <w:b/>
              </w:rPr>
              <w:t>$577,503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A5" w:rsidRPr="000A1CA5" w:rsidRDefault="000A1CA5" w:rsidP="000A1CA5">
            <w:pPr>
              <w:rPr>
                <w:b/>
              </w:rPr>
            </w:pPr>
            <w:r w:rsidRPr="000A1CA5">
              <w:rPr>
                <w:b/>
              </w:rPr>
              <w:t>$0</w:t>
            </w:r>
          </w:p>
        </w:tc>
      </w:tr>
    </w:tbl>
    <w:p w:rsidR="008D308B" w:rsidRDefault="008D308B" w:rsidP="008D06EA"/>
    <w:sectPr w:rsidR="008D308B" w:rsidSect="004B5493">
      <w:pgSz w:w="12240" w:h="15840" w:code="1"/>
      <w:pgMar w:top="1440" w:right="432" w:bottom="864" w:left="2016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F8" w:rsidRDefault="00F708F8">
      <w:r>
        <w:separator/>
      </w:r>
    </w:p>
  </w:endnote>
  <w:endnote w:type="continuationSeparator" w:id="0">
    <w:p w:rsidR="00F708F8" w:rsidRDefault="00F7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F8" w:rsidRDefault="00F708F8">
      <w:r>
        <w:separator/>
      </w:r>
    </w:p>
  </w:footnote>
  <w:footnote w:type="continuationSeparator" w:id="0">
    <w:p w:rsidR="00F708F8" w:rsidRDefault="00F7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10C48"/>
    <w:multiLevelType w:val="hybridMultilevel"/>
    <w:tmpl w:val="98B26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5"/>
    <w:rsid w:val="000A1CA5"/>
    <w:rsid w:val="000A4738"/>
    <w:rsid w:val="00122208"/>
    <w:rsid w:val="00171E51"/>
    <w:rsid w:val="00234DF3"/>
    <w:rsid w:val="003003E4"/>
    <w:rsid w:val="0032743F"/>
    <w:rsid w:val="00332215"/>
    <w:rsid w:val="0035102A"/>
    <w:rsid w:val="00401443"/>
    <w:rsid w:val="004512FE"/>
    <w:rsid w:val="004718EA"/>
    <w:rsid w:val="00473AE6"/>
    <w:rsid w:val="004959EF"/>
    <w:rsid w:val="004B5493"/>
    <w:rsid w:val="004C383B"/>
    <w:rsid w:val="00550CDB"/>
    <w:rsid w:val="005569D0"/>
    <w:rsid w:val="0056418A"/>
    <w:rsid w:val="005B20D6"/>
    <w:rsid w:val="005C44F8"/>
    <w:rsid w:val="00640575"/>
    <w:rsid w:val="006937D8"/>
    <w:rsid w:val="006B4BBC"/>
    <w:rsid w:val="006B72E5"/>
    <w:rsid w:val="006D4E77"/>
    <w:rsid w:val="006D5818"/>
    <w:rsid w:val="006F3494"/>
    <w:rsid w:val="007206BD"/>
    <w:rsid w:val="00777BC2"/>
    <w:rsid w:val="00803ED5"/>
    <w:rsid w:val="00834E40"/>
    <w:rsid w:val="00851209"/>
    <w:rsid w:val="008A1A6C"/>
    <w:rsid w:val="008C0C55"/>
    <w:rsid w:val="008D06EA"/>
    <w:rsid w:val="008D1E2D"/>
    <w:rsid w:val="008D308B"/>
    <w:rsid w:val="008F7062"/>
    <w:rsid w:val="00931B38"/>
    <w:rsid w:val="009978E9"/>
    <w:rsid w:val="009A561B"/>
    <w:rsid w:val="00A30EBD"/>
    <w:rsid w:val="00A33A2F"/>
    <w:rsid w:val="00A57862"/>
    <w:rsid w:val="00AC5C7A"/>
    <w:rsid w:val="00B86CB0"/>
    <w:rsid w:val="00BA7C2E"/>
    <w:rsid w:val="00BC1DCD"/>
    <w:rsid w:val="00C860D5"/>
    <w:rsid w:val="00C93CA1"/>
    <w:rsid w:val="00CA686D"/>
    <w:rsid w:val="00CD5C14"/>
    <w:rsid w:val="00D01011"/>
    <w:rsid w:val="00D4047E"/>
    <w:rsid w:val="00D64044"/>
    <w:rsid w:val="00DB4F3D"/>
    <w:rsid w:val="00DB7955"/>
    <w:rsid w:val="00DD0157"/>
    <w:rsid w:val="00DD3E02"/>
    <w:rsid w:val="00E7263A"/>
    <w:rsid w:val="00E87972"/>
    <w:rsid w:val="00F25C02"/>
    <w:rsid w:val="00F708F8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65CA4B-0880-4555-B786-6A2C438E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  <w:tab w:val="left" w:pos="4680"/>
        <w:tab w:val="decimal" w:pos="7920"/>
      </w:tabs>
      <w:spacing w:line="360" w:lineRule="atLeast"/>
      <w:jc w:val="center"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560"/>
        <w:tab w:val="decimal" w:pos="7920"/>
      </w:tabs>
      <w:spacing w:line="360" w:lineRule="atLeas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560"/>
        <w:tab w:val="decimal" w:pos="7920"/>
      </w:tabs>
      <w:spacing w:line="360" w:lineRule="atLeas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560"/>
        <w:tab w:val="decimal" w:pos="7920"/>
      </w:tabs>
      <w:spacing w:line="360" w:lineRule="atLeast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tLeast"/>
      <w:ind w:left="2160" w:firstLine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tabs>
        <w:tab w:val="left" w:pos="0"/>
      </w:tabs>
      <w:jc w:val="both"/>
    </w:pPr>
  </w:style>
  <w:style w:type="paragraph" w:styleId="BodyTextIndent2">
    <w:name w:val="Body Text Indent 2"/>
    <w:basedOn w:val="Normal"/>
    <w:semiHidden/>
    <w:pPr>
      <w:ind w:left="2880" w:hanging="2880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Geneva" w:hAnsi="Geneva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B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O'Brien, Clare</cp:lastModifiedBy>
  <cp:revision>5</cp:revision>
  <cp:lastPrinted>2016-11-08T17:39:00Z</cp:lastPrinted>
  <dcterms:created xsi:type="dcterms:W3CDTF">2017-06-21T16:42:00Z</dcterms:created>
  <dcterms:modified xsi:type="dcterms:W3CDTF">2017-06-21T16:58:00Z</dcterms:modified>
</cp:coreProperties>
</file>