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B2" w:rsidRPr="006E0B14" w:rsidRDefault="00E375B2" w:rsidP="00A314EB">
      <w:pPr>
        <w:pStyle w:val="NoSpacing"/>
        <w:ind w:left="720" w:right="1440" w:firstLine="720"/>
      </w:pPr>
      <w:r w:rsidRPr="006E0B14">
        <w:t>Date:</w:t>
      </w:r>
      <w:r w:rsidRPr="006E0B14">
        <w:tab/>
        <w:t xml:space="preserve"> </w:t>
      </w:r>
      <w:r w:rsidRPr="006E0B14">
        <w:tab/>
      </w:r>
      <w:r w:rsidR="00546278">
        <w:t>November 1</w:t>
      </w:r>
      <w:r w:rsidR="00A314EB">
        <w:t>7</w:t>
      </w:r>
      <w:r w:rsidR="00CB7ED7">
        <w:t>, 2016</w:t>
      </w:r>
      <w:r w:rsidRPr="006E0B14">
        <w:tab/>
      </w:r>
      <w:r w:rsidRPr="006E0B14">
        <w:tab/>
      </w:r>
    </w:p>
    <w:p w:rsidR="00E375B2" w:rsidRPr="006E0B14" w:rsidRDefault="00E375B2" w:rsidP="002B5291">
      <w:pPr>
        <w:pStyle w:val="NoSpacing"/>
        <w:ind w:left="1440" w:right="1440"/>
      </w:pPr>
    </w:p>
    <w:p w:rsidR="00E375B2" w:rsidRPr="006E0B14" w:rsidRDefault="00E375B2" w:rsidP="002B5291">
      <w:pPr>
        <w:pStyle w:val="NoSpacing"/>
        <w:ind w:left="1440" w:right="1440"/>
      </w:pPr>
      <w:r w:rsidRPr="006E0B14">
        <w:t>To:</w:t>
      </w:r>
      <w:r w:rsidRPr="006E0B14">
        <w:tab/>
      </w:r>
      <w:r w:rsidRPr="006E0B14">
        <w:tab/>
      </w:r>
      <w:r w:rsidR="00CB7ED7">
        <w:t>Theo</w:t>
      </w:r>
      <w:r w:rsidR="00E7324F">
        <w:t>dore</w:t>
      </w:r>
      <w:r w:rsidR="00CB7ED7">
        <w:t xml:space="preserve"> Lipscomb, Sr.</w:t>
      </w:r>
      <w:r w:rsidRPr="006E0B14">
        <w:t xml:space="preserve">, </w:t>
      </w:r>
      <w:r w:rsidR="00CB7ED7">
        <w:t xml:space="preserve">Chairman, </w:t>
      </w:r>
      <w:proofErr w:type="gramStart"/>
      <w:r w:rsidRPr="006E0B14">
        <w:t>County</w:t>
      </w:r>
      <w:proofErr w:type="gramEnd"/>
      <w:r w:rsidRPr="006E0B14">
        <w:t xml:space="preserve"> Board of Supervisors</w:t>
      </w:r>
    </w:p>
    <w:p w:rsidR="00E375B2" w:rsidRPr="006E0B14" w:rsidRDefault="00E375B2" w:rsidP="002B5291">
      <w:pPr>
        <w:pStyle w:val="NoSpacing"/>
        <w:ind w:left="1440" w:right="1440"/>
      </w:pPr>
    </w:p>
    <w:p w:rsidR="00E375B2" w:rsidRPr="006E0B14" w:rsidRDefault="00E375B2" w:rsidP="002B5291">
      <w:pPr>
        <w:pStyle w:val="NoSpacing"/>
        <w:ind w:left="2880" w:right="1440" w:hanging="1440"/>
      </w:pPr>
      <w:r w:rsidRPr="006E0B14">
        <w:t>From:</w:t>
      </w:r>
      <w:r w:rsidRPr="006E0B14">
        <w:tab/>
        <w:t xml:space="preserve">John Dargle, Jr., </w:t>
      </w:r>
      <w:r w:rsidR="00015993">
        <w:t xml:space="preserve">CPRP, </w:t>
      </w:r>
      <w:r w:rsidRPr="006E0B14">
        <w:t>Director, Department of Parks, Recreation and Culture</w:t>
      </w:r>
      <w:r w:rsidR="003E4F14">
        <w:t xml:space="preserve"> (DPRC)</w:t>
      </w:r>
    </w:p>
    <w:p w:rsidR="00E375B2" w:rsidRPr="006E0B14" w:rsidRDefault="00E375B2" w:rsidP="002B5291">
      <w:pPr>
        <w:pStyle w:val="NoSpacing"/>
        <w:ind w:left="1440" w:right="1440"/>
      </w:pPr>
    </w:p>
    <w:p w:rsidR="00E375B2" w:rsidRPr="006E0B14" w:rsidRDefault="00E375B2" w:rsidP="002B5291">
      <w:pPr>
        <w:pStyle w:val="NoSpacing"/>
        <w:ind w:left="2880" w:right="1440" w:hanging="1440"/>
      </w:pPr>
      <w:r w:rsidRPr="006E0B14">
        <w:t>Subject:</w:t>
      </w:r>
      <w:r w:rsidRPr="006E0B14">
        <w:tab/>
      </w:r>
      <w:r w:rsidR="008719CD">
        <w:rPr>
          <w:b/>
        </w:rPr>
        <w:t>Retroactive</w:t>
      </w:r>
      <w:r w:rsidR="00CB7ED7">
        <w:t xml:space="preserve"> </w:t>
      </w:r>
      <w:r w:rsidR="00B53ADD" w:rsidRPr="00B53ADD">
        <w:rPr>
          <w:b/>
        </w:rPr>
        <w:t>Extension for a</w:t>
      </w:r>
      <w:r w:rsidR="00B53ADD">
        <w:t xml:space="preserve"> </w:t>
      </w:r>
      <w:r w:rsidR="005703A7" w:rsidRPr="006E0B14">
        <w:rPr>
          <w:b/>
        </w:rPr>
        <w:t>Temporary Assignment to a Higher Classification (TAHC) for</w:t>
      </w:r>
      <w:r w:rsidR="00D73A65">
        <w:rPr>
          <w:b/>
        </w:rPr>
        <w:t xml:space="preserve"> </w:t>
      </w:r>
      <w:r w:rsidR="00546278">
        <w:rPr>
          <w:b/>
        </w:rPr>
        <w:t xml:space="preserve">Michael </w:t>
      </w:r>
      <w:proofErr w:type="spellStart"/>
      <w:r w:rsidR="00546278">
        <w:rPr>
          <w:b/>
        </w:rPr>
        <w:t>Nowakowski</w:t>
      </w:r>
      <w:proofErr w:type="spellEnd"/>
      <w:r w:rsidR="00D73A65">
        <w:rPr>
          <w:b/>
        </w:rPr>
        <w:t xml:space="preserve"> </w:t>
      </w:r>
      <w:r w:rsidR="00A314EB">
        <w:rPr>
          <w:b/>
        </w:rPr>
        <w:t xml:space="preserve">– ACTION </w:t>
      </w:r>
      <w:r w:rsidR="007064CB" w:rsidRPr="006E0B14">
        <w:rPr>
          <w:b/>
        </w:rPr>
        <w:t xml:space="preserve"> </w:t>
      </w:r>
    </w:p>
    <w:p w:rsidR="00E375B2" w:rsidRPr="006E0B14" w:rsidRDefault="00E375B2" w:rsidP="002819BB">
      <w:pPr>
        <w:pStyle w:val="NoSpacing"/>
        <w:ind w:right="1440"/>
        <w:rPr>
          <w:caps/>
        </w:rPr>
      </w:pPr>
    </w:p>
    <w:p w:rsidR="00E375B2" w:rsidRPr="006E0B14" w:rsidRDefault="00E375B2" w:rsidP="002B5291">
      <w:pPr>
        <w:pStyle w:val="NoSpacing"/>
        <w:ind w:left="1440" w:right="1440"/>
        <w:rPr>
          <w:b/>
          <w:u w:val="single"/>
        </w:rPr>
      </w:pPr>
      <w:r w:rsidRPr="006E0B14">
        <w:rPr>
          <w:b/>
          <w:u w:val="single"/>
        </w:rPr>
        <w:t>POLICY</w:t>
      </w:r>
    </w:p>
    <w:p w:rsidR="00782DBF" w:rsidRPr="006E0B14" w:rsidRDefault="005703A7" w:rsidP="002B5291">
      <w:pPr>
        <w:pStyle w:val="NoSpacing"/>
        <w:ind w:left="1440" w:right="1440"/>
      </w:pPr>
      <w:r w:rsidRPr="006E0B14">
        <w:t>Chapter 17.085</w:t>
      </w:r>
      <w:r w:rsidR="00FB7869" w:rsidRPr="006E0B14">
        <w:t xml:space="preserve"> of the Milwaukee County Code of General Ordinances requires that an extension of</w:t>
      </w:r>
      <w:r w:rsidR="00365F95">
        <w:t xml:space="preserve"> temporary assignment beyond 180</w:t>
      </w:r>
      <w:r w:rsidR="00FB7869" w:rsidRPr="006E0B14">
        <w:t xml:space="preserve"> days be approved by the Milwaukee County Board of Supervisors.</w:t>
      </w:r>
    </w:p>
    <w:p w:rsidR="00FB7869" w:rsidRPr="006E0B14" w:rsidRDefault="00FB7869" w:rsidP="002B5291">
      <w:pPr>
        <w:pStyle w:val="NoSpacing"/>
        <w:ind w:left="1440" w:right="1440"/>
      </w:pPr>
    </w:p>
    <w:p w:rsidR="00E375B2" w:rsidRPr="006E0B14" w:rsidRDefault="00E375B2" w:rsidP="002B5291">
      <w:pPr>
        <w:pStyle w:val="NoSpacing"/>
        <w:ind w:left="1440" w:right="1440"/>
        <w:rPr>
          <w:b/>
          <w:u w:val="single"/>
        </w:rPr>
      </w:pPr>
      <w:r w:rsidRPr="006E0B14">
        <w:rPr>
          <w:b/>
          <w:u w:val="single"/>
        </w:rPr>
        <w:t>BACKGROUND</w:t>
      </w:r>
    </w:p>
    <w:p w:rsidR="00250567" w:rsidRDefault="003E4F14" w:rsidP="00250567">
      <w:pPr>
        <w:pStyle w:val="NoSpacing"/>
        <w:ind w:left="1440" w:right="1440"/>
      </w:pPr>
      <w:r>
        <w:t>The DPRC</w:t>
      </w:r>
      <w:r w:rsidR="00F57E81">
        <w:t xml:space="preserve"> requests</w:t>
      </w:r>
      <w:r w:rsidR="001D0851">
        <w:t xml:space="preserve"> the continued </w:t>
      </w:r>
      <w:r w:rsidR="00FB7869" w:rsidRPr="006E0B14">
        <w:t xml:space="preserve">extension of </w:t>
      </w:r>
      <w:r w:rsidR="00546278">
        <w:t xml:space="preserve">Michael </w:t>
      </w:r>
      <w:proofErr w:type="spellStart"/>
      <w:r w:rsidR="00546278">
        <w:t>Nowakowski</w:t>
      </w:r>
      <w:r w:rsidR="00015993">
        <w:t>’s</w:t>
      </w:r>
      <w:proofErr w:type="spellEnd"/>
      <w:r w:rsidR="00DB5A28">
        <w:t xml:space="preserve"> TAHC</w:t>
      </w:r>
      <w:r w:rsidR="00FB7869" w:rsidRPr="006E0B14">
        <w:t xml:space="preserve"> to </w:t>
      </w:r>
      <w:r w:rsidR="00EB39F1" w:rsidRPr="006E0B14">
        <w:t xml:space="preserve">the position of </w:t>
      </w:r>
      <w:r w:rsidR="00546278">
        <w:t>Park Maintenance Worker 2 In-Charge</w:t>
      </w:r>
      <w:r w:rsidR="00D73A65">
        <w:t xml:space="preserve"> </w:t>
      </w:r>
      <w:r>
        <w:t xml:space="preserve">from </w:t>
      </w:r>
      <w:r w:rsidR="00546278">
        <w:t>October 14</w:t>
      </w:r>
      <w:r>
        <w:t xml:space="preserve"> through December </w:t>
      </w:r>
      <w:r w:rsidR="00546278">
        <w:t>3</w:t>
      </w:r>
      <w:r>
        <w:t xml:space="preserve">1, 2016 </w:t>
      </w:r>
      <w:r w:rsidR="00015993">
        <w:t xml:space="preserve">or until the </w:t>
      </w:r>
      <w:r w:rsidR="00546278">
        <w:t>employee in the position returns from medical leave</w:t>
      </w:r>
      <w:r w:rsidR="00015993">
        <w:t>, whichever occurs first</w:t>
      </w:r>
      <w:r w:rsidR="00EB39F1" w:rsidRPr="006E0B14">
        <w:t>.</w:t>
      </w:r>
      <w:r w:rsidR="00250567">
        <w:t xml:space="preserve"> The previous extension request was for</w:t>
      </w:r>
      <w:r w:rsidR="001D0851">
        <w:t xml:space="preserve"> the period of </w:t>
      </w:r>
      <w:r w:rsidR="00546278">
        <w:t>July 23</w:t>
      </w:r>
      <w:r w:rsidR="001D0851">
        <w:t>, 2016 through</w:t>
      </w:r>
      <w:r w:rsidR="00250567">
        <w:t xml:space="preserve"> </w:t>
      </w:r>
      <w:r w:rsidR="00546278">
        <w:t>October 13</w:t>
      </w:r>
      <w:r w:rsidR="00250567">
        <w:t>, 2016</w:t>
      </w:r>
      <w:r w:rsidR="00546278">
        <w:t>.</w:t>
      </w:r>
    </w:p>
    <w:p w:rsidR="00CB7ED7" w:rsidRDefault="00CB7ED7" w:rsidP="002B5291">
      <w:pPr>
        <w:pStyle w:val="NoSpacing"/>
        <w:ind w:left="1440" w:right="1440"/>
      </w:pPr>
    </w:p>
    <w:p w:rsidR="00CB7ED7" w:rsidRPr="006E0B14" w:rsidRDefault="00CB7ED7" w:rsidP="002B5291">
      <w:pPr>
        <w:pStyle w:val="NoSpacing"/>
        <w:ind w:left="1440" w:right="1440"/>
      </w:pPr>
      <w:r>
        <w:t>The DP</w:t>
      </w:r>
      <w:r w:rsidR="003E4F14">
        <w:t xml:space="preserve">RC anticipates </w:t>
      </w:r>
      <w:r w:rsidR="00546278">
        <w:t>that the employee holding the position will be released from medical leave by the end of the year</w:t>
      </w:r>
      <w:r>
        <w:t>.</w:t>
      </w:r>
    </w:p>
    <w:p w:rsidR="00633477" w:rsidRPr="006E0B14" w:rsidRDefault="00633477" w:rsidP="002B5291">
      <w:pPr>
        <w:pStyle w:val="NoSpacing"/>
        <w:ind w:left="2160" w:right="1440"/>
      </w:pPr>
    </w:p>
    <w:p w:rsidR="00E375B2" w:rsidRPr="006E0B14" w:rsidRDefault="00E375B2" w:rsidP="002B5291">
      <w:pPr>
        <w:pStyle w:val="NoSpacing"/>
        <w:ind w:left="1440" w:right="1440"/>
        <w:rPr>
          <w:b/>
          <w:u w:val="single"/>
        </w:rPr>
      </w:pPr>
      <w:r w:rsidRPr="006E0B14">
        <w:rPr>
          <w:b/>
          <w:u w:val="single"/>
        </w:rPr>
        <w:t>RECOMMENDATION</w:t>
      </w:r>
    </w:p>
    <w:p w:rsidR="00B64BDA" w:rsidRPr="006E0B14" w:rsidRDefault="00FE02A4" w:rsidP="002B5291">
      <w:pPr>
        <w:tabs>
          <w:tab w:val="left" w:pos="660"/>
          <w:tab w:val="left" w:pos="1188"/>
          <w:tab w:val="left" w:pos="1713"/>
          <w:tab w:val="left" w:pos="4320"/>
          <w:tab w:val="left" w:pos="5040"/>
          <w:tab w:val="left" w:pos="5760"/>
          <w:tab w:val="left" w:pos="6480"/>
          <w:tab w:val="left" w:pos="9360"/>
          <w:tab w:val="left" w:pos="10800"/>
        </w:tabs>
        <w:ind w:left="1440" w:righ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The </w:t>
      </w:r>
      <w:r w:rsidR="002B5291">
        <w:rPr>
          <w:rFonts w:ascii="Arial" w:hAnsi="Arial" w:cs="Arial"/>
          <w:bCs/>
          <w:sz w:val="24"/>
        </w:rPr>
        <w:t>DPRC</w:t>
      </w:r>
      <w:r w:rsidR="00B64BDA" w:rsidRPr="006E0B14">
        <w:rPr>
          <w:rFonts w:ascii="Arial" w:hAnsi="Arial" w:cs="Arial"/>
          <w:bCs/>
          <w:sz w:val="24"/>
        </w:rPr>
        <w:t xml:space="preserve"> recommends </w:t>
      </w:r>
      <w:r w:rsidR="00F85A84">
        <w:rPr>
          <w:rFonts w:ascii="Arial" w:hAnsi="Arial" w:cs="Arial"/>
          <w:bCs/>
          <w:sz w:val="24"/>
        </w:rPr>
        <w:t>a</w:t>
      </w:r>
      <w:r w:rsidR="00D2050C" w:rsidRPr="006E0B14">
        <w:rPr>
          <w:rFonts w:ascii="Arial" w:hAnsi="Arial" w:cs="Arial"/>
          <w:bCs/>
          <w:sz w:val="24"/>
        </w:rPr>
        <w:t xml:space="preserve"> </w:t>
      </w:r>
      <w:r w:rsidR="00981D93">
        <w:rPr>
          <w:rFonts w:ascii="Arial" w:hAnsi="Arial" w:cs="Arial"/>
          <w:bCs/>
          <w:sz w:val="24"/>
        </w:rPr>
        <w:t>retroactive</w:t>
      </w:r>
      <w:r w:rsidR="00F85A84">
        <w:rPr>
          <w:rFonts w:ascii="Arial" w:hAnsi="Arial" w:cs="Arial"/>
          <w:bCs/>
          <w:sz w:val="24"/>
        </w:rPr>
        <w:t xml:space="preserve"> </w:t>
      </w:r>
      <w:r w:rsidR="00981D93">
        <w:rPr>
          <w:rFonts w:ascii="Arial" w:hAnsi="Arial" w:cs="Arial"/>
          <w:bCs/>
          <w:sz w:val="24"/>
        </w:rPr>
        <w:t xml:space="preserve">extension of the </w:t>
      </w:r>
      <w:r w:rsidR="00DB5A28">
        <w:rPr>
          <w:rFonts w:ascii="Arial" w:hAnsi="Arial" w:cs="Arial"/>
          <w:bCs/>
          <w:sz w:val="24"/>
        </w:rPr>
        <w:t>TAHC</w:t>
      </w:r>
      <w:r w:rsidR="00D2050C" w:rsidRPr="006E0B14">
        <w:rPr>
          <w:rFonts w:ascii="Arial" w:hAnsi="Arial" w:cs="Arial"/>
          <w:bCs/>
          <w:sz w:val="24"/>
        </w:rPr>
        <w:t xml:space="preserve"> to a Higher Classification of </w:t>
      </w:r>
      <w:r w:rsidR="00546278">
        <w:rPr>
          <w:rFonts w:ascii="Arial" w:hAnsi="Arial" w:cs="Arial"/>
          <w:bCs/>
          <w:sz w:val="24"/>
        </w:rPr>
        <w:t>Michael Nowakowski</w:t>
      </w:r>
      <w:r w:rsidR="00981D93">
        <w:rPr>
          <w:rFonts w:ascii="Arial" w:hAnsi="Arial" w:cs="Arial"/>
          <w:sz w:val="24"/>
        </w:rPr>
        <w:t>.</w:t>
      </w:r>
    </w:p>
    <w:p w:rsidR="00167CE5" w:rsidRPr="006E0B14" w:rsidRDefault="00167CE5" w:rsidP="002B5291">
      <w:pPr>
        <w:pStyle w:val="NoSpacing"/>
        <w:ind w:left="1440" w:right="1440"/>
      </w:pPr>
      <w:bookmarkStart w:id="0" w:name="_GoBack"/>
      <w:bookmarkEnd w:id="0"/>
    </w:p>
    <w:p w:rsidR="00D2050C" w:rsidRDefault="00E375B2" w:rsidP="00A314EB">
      <w:pPr>
        <w:pStyle w:val="NoSpacing"/>
        <w:ind w:left="1440" w:right="1440"/>
      </w:pPr>
      <w:r w:rsidRPr="006E0B14">
        <w:t xml:space="preserve">Prepared by: </w:t>
      </w:r>
      <w:r w:rsidR="002B5291">
        <w:t>Jen Francis</w:t>
      </w:r>
      <w:r w:rsidR="00365F95">
        <w:t>, Chief of Administration &amp; External Affairs</w:t>
      </w:r>
    </w:p>
    <w:p w:rsidR="00A314EB" w:rsidRPr="00CD0F82" w:rsidRDefault="00A314EB" w:rsidP="00A314EB">
      <w:pPr>
        <w:pStyle w:val="NoSpacing"/>
        <w:ind w:right="1440"/>
      </w:pPr>
    </w:p>
    <w:p w:rsidR="00A314EB" w:rsidRPr="00CD0F82" w:rsidRDefault="00A314EB" w:rsidP="00A314EB">
      <w:pPr>
        <w:ind w:left="720" w:firstLine="720"/>
        <w:rPr>
          <w:rFonts w:ascii="Arial" w:hAnsi="Arial" w:cs="Arial"/>
          <w:b/>
          <w:bCs/>
          <w:sz w:val="24"/>
        </w:rPr>
      </w:pPr>
      <w:r w:rsidRPr="00CD0F82">
        <w:rPr>
          <w:rFonts w:ascii="Arial" w:hAnsi="Arial" w:cs="Arial"/>
          <w:b/>
          <w:sz w:val="24"/>
        </w:rPr>
        <w:t>Approved by:</w:t>
      </w:r>
    </w:p>
    <w:p w:rsidR="00A314EB" w:rsidRPr="00CD0F82" w:rsidRDefault="00A314EB" w:rsidP="00A314EB">
      <w:pPr>
        <w:ind w:left="1440" w:right="1440"/>
        <w:rPr>
          <w:rFonts w:ascii="Arial" w:hAnsi="Arial" w:cs="Arial"/>
          <w:sz w:val="24"/>
        </w:rPr>
      </w:pPr>
      <w:r w:rsidRPr="00CD0F8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47A1C8" wp14:editId="36166946">
            <wp:simplePos x="0" y="0"/>
            <wp:positionH relativeFrom="margin">
              <wp:posOffset>885825</wp:posOffset>
            </wp:positionH>
            <wp:positionV relativeFrom="paragraph">
              <wp:posOffset>60325</wp:posOffset>
            </wp:positionV>
            <wp:extent cx="2152650" cy="561975"/>
            <wp:effectExtent l="0" t="0" r="0" b="9525"/>
            <wp:wrapNone/>
            <wp:docPr id="3" name="Picture 3" descr="H:\Administration\HR Confidential\Dargle, Joh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istration\HR Confidential\Dargle, John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4EB" w:rsidRPr="00CD0F82" w:rsidRDefault="00A314EB" w:rsidP="00A314EB">
      <w:pPr>
        <w:ind w:right="1440"/>
        <w:rPr>
          <w:rFonts w:ascii="Arial" w:hAnsi="Arial" w:cs="Arial"/>
          <w:sz w:val="24"/>
        </w:rPr>
      </w:pPr>
    </w:p>
    <w:p w:rsidR="00A314EB" w:rsidRPr="00CD0F82" w:rsidRDefault="00A314EB" w:rsidP="00A314EB">
      <w:pPr>
        <w:ind w:left="720" w:right="1440" w:firstLine="720"/>
        <w:rPr>
          <w:rFonts w:ascii="Arial" w:hAnsi="Arial" w:cs="Arial"/>
          <w:sz w:val="24"/>
        </w:rPr>
      </w:pPr>
      <w:r w:rsidRPr="00CD0F82">
        <w:rPr>
          <w:rFonts w:ascii="Arial" w:hAnsi="Arial" w:cs="Arial"/>
          <w:sz w:val="24"/>
        </w:rPr>
        <w:t>________________________________</w:t>
      </w:r>
    </w:p>
    <w:p w:rsidR="00A314EB" w:rsidRPr="00CD0F82" w:rsidRDefault="00A314EB" w:rsidP="00A314EB">
      <w:pPr>
        <w:ind w:left="720" w:right="1440" w:firstLine="720"/>
        <w:rPr>
          <w:rFonts w:ascii="Arial" w:hAnsi="Arial" w:cs="Arial"/>
          <w:sz w:val="24"/>
        </w:rPr>
      </w:pPr>
      <w:r w:rsidRPr="00CD0F82">
        <w:rPr>
          <w:rFonts w:ascii="Arial" w:hAnsi="Arial" w:cs="Arial"/>
          <w:sz w:val="24"/>
        </w:rPr>
        <w:t>John Dargle, Jr., CPRP, Director</w:t>
      </w:r>
      <w:r>
        <w:rPr>
          <w:rFonts w:ascii="Arial" w:hAnsi="Arial" w:cs="Arial"/>
          <w:sz w:val="24"/>
        </w:rPr>
        <w:br/>
      </w:r>
    </w:p>
    <w:p w:rsidR="00A314EB" w:rsidRDefault="00A314EB" w:rsidP="002B5291">
      <w:pPr>
        <w:pStyle w:val="NoSpacing"/>
        <w:tabs>
          <w:tab w:val="left" w:pos="2160"/>
        </w:tabs>
        <w:ind w:left="2160" w:right="1440" w:hanging="720"/>
      </w:pPr>
    </w:p>
    <w:p w:rsidR="00A314EB" w:rsidRPr="006E0B14" w:rsidRDefault="00A314EB" w:rsidP="00A314EB">
      <w:pPr>
        <w:pStyle w:val="NoSpacing"/>
        <w:tabs>
          <w:tab w:val="left" w:pos="2160"/>
        </w:tabs>
        <w:ind w:left="2160" w:right="1440" w:hanging="720"/>
      </w:pPr>
      <w:r>
        <w:lastRenderedPageBreak/>
        <w:t>C</w:t>
      </w:r>
      <w:r w:rsidRPr="006E0B14">
        <w:t>opy:</w:t>
      </w:r>
      <w:r w:rsidRPr="006E0B14">
        <w:tab/>
        <w:t>Chris Abele</w:t>
      </w:r>
      <w:r>
        <w:t xml:space="preserve">, </w:t>
      </w:r>
      <w:r w:rsidRPr="006E0B14">
        <w:t>County Executive</w:t>
      </w:r>
    </w:p>
    <w:p w:rsidR="00A314EB" w:rsidRPr="006E0B14" w:rsidRDefault="00A314EB" w:rsidP="00A314EB">
      <w:pPr>
        <w:pStyle w:val="NoSpacing"/>
        <w:tabs>
          <w:tab w:val="left" w:pos="2160"/>
        </w:tabs>
        <w:ind w:left="2160" w:right="1440" w:hanging="720"/>
      </w:pPr>
      <w:r w:rsidRPr="006E0B14">
        <w:tab/>
      </w:r>
      <w:r>
        <w:t>Raisa Koltun</w:t>
      </w:r>
      <w:r w:rsidRPr="006E0B14">
        <w:t>, Chief of Staff, County Executive’s Office</w:t>
      </w:r>
    </w:p>
    <w:p w:rsidR="00A314EB" w:rsidRPr="006E0B14" w:rsidRDefault="00A314EB" w:rsidP="00A314EB">
      <w:pPr>
        <w:pStyle w:val="NoSpacing"/>
        <w:tabs>
          <w:tab w:val="left" w:pos="2160"/>
        </w:tabs>
        <w:ind w:left="2160" w:right="1440" w:hanging="720"/>
      </w:pPr>
      <w:r w:rsidRPr="006E0B14">
        <w:tab/>
      </w:r>
      <w:r>
        <w:t xml:space="preserve">Peggy West, Chair, Finance </w:t>
      </w:r>
      <w:r w:rsidRPr="006E0B14">
        <w:t>and Audit Committee</w:t>
      </w:r>
    </w:p>
    <w:p w:rsidR="00A314EB" w:rsidRPr="006E0B14" w:rsidRDefault="00A314EB" w:rsidP="00A314EB">
      <w:pPr>
        <w:pStyle w:val="NoSpacing"/>
        <w:tabs>
          <w:tab w:val="left" w:pos="2160"/>
        </w:tabs>
        <w:ind w:left="2160" w:right="1440" w:hanging="720"/>
      </w:pPr>
      <w:r>
        <w:tab/>
      </w:r>
      <w:r w:rsidRPr="006E0B14">
        <w:t>Kelly Bablitch, Chief of Staff, County Board</w:t>
      </w:r>
    </w:p>
    <w:p w:rsidR="00A314EB" w:rsidRPr="006E0B14" w:rsidRDefault="00A314EB" w:rsidP="00A314EB">
      <w:pPr>
        <w:pStyle w:val="NoSpacing"/>
        <w:tabs>
          <w:tab w:val="left" w:pos="2160"/>
        </w:tabs>
        <w:ind w:left="2160" w:right="1440" w:hanging="720"/>
      </w:pPr>
      <w:r>
        <w:tab/>
        <w:t>Sheldon A. Wasserman, Vice Chair, Finance</w:t>
      </w:r>
      <w:r w:rsidRPr="006E0B14">
        <w:t xml:space="preserve"> and Audit Committee</w:t>
      </w:r>
    </w:p>
    <w:p w:rsidR="00A314EB" w:rsidRPr="006E0B14" w:rsidRDefault="00A314EB" w:rsidP="00A314EB">
      <w:pPr>
        <w:pStyle w:val="NoSpacing"/>
        <w:tabs>
          <w:tab w:val="left" w:pos="2160"/>
        </w:tabs>
        <w:ind w:left="2160" w:right="1440" w:hanging="720"/>
      </w:pPr>
      <w:r w:rsidRPr="006E0B14">
        <w:tab/>
      </w:r>
      <w:r>
        <w:t>Jeremy Lucas</w:t>
      </w:r>
      <w:r w:rsidRPr="006E0B14">
        <w:t>, Fiscal Mgt. Analyst, Admin &amp; Fiscal Affairs</w:t>
      </w:r>
      <w:r w:rsidRPr="006E0B14">
        <w:rPr>
          <w:color w:val="000000"/>
        </w:rPr>
        <w:t>/</w:t>
      </w:r>
      <w:r w:rsidRPr="006E0B14">
        <w:t>DAS</w:t>
      </w:r>
    </w:p>
    <w:p w:rsidR="00A314EB" w:rsidRPr="006E0B14" w:rsidRDefault="00A314EB" w:rsidP="00A314EB">
      <w:pPr>
        <w:pStyle w:val="NoSpacing"/>
        <w:tabs>
          <w:tab w:val="left" w:pos="2160"/>
        </w:tabs>
        <w:ind w:left="2160" w:right="1440" w:hanging="720"/>
      </w:pPr>
      <w:r w:rsidRPr="006E0B14">
        <w:tab/>
        <w:t xml:space="preserve">Janelle Jensen, </w:t>
      </w:r>
      <w:r>
        <w:t>Committee Coordinator, Office of the County Clerk</w:t>
      </w:r>
    </w:p>
    <w:p w:rsidR="00A314EB" w:rsidRPr="006E0B14" w:rsidRDefault="00A314EB" w:rsidP="00A314EB">
      <w:pPr>
        <w:pStyle w:val="NoSpacing"/>
        <w:tabs>
          <w:tab w:val="left" w:pos="2160"/>
        </w:tabs>
        <w:ind w:left="2160" w:right="1440" w:hanging="720"/>
      </w:pPr>
      <w:r w:rsidRPr="006E0B14">
        <w:tab/>
        <w:t>Steve Cady, Research Services Director, Office of the Comptroller</w:t>
      </w:r>
    </w:p>
    <w:p w:rsidR="00A314EB" w:rsidRPr="006E0B14" w:rsidRDefault="00A314EB" w:rsidP="00A314EB">
      <w:pPr>
        <w:pStyle w:val="NoSpacing"/>
        <w:tabs>
          <w:tab w:val="left" w:pos="2160"/>
        </w:tabs>
        <w:ind w:left="2160" w:right="1440" w:hanging="720"/>
      </w:pPr>
      <w:r w:rsidRPr="006E0B14">
        <w:tab/>
      </w:r>
      <w:r>
        <w:t xml:space="preserve">Michael </w:t>
      </w:r>
      <w:proofErr w:type="spellStart"/>
      <w:r>
        <w:t>Blickhahn</w:t>
      </w:r>
      <w:proofErr w:type="spellEnd"/>
      <w:r w:rsidRPr="006E0B14">
        <w:t xml:space="preserve">, </w:t>
      </w:r>
      <w:r>
        <w:t xml:space="preserve">HRIS </w:t>
      </w:r>
      <w:r w:rsidRPr="006E0B14">
        <w:t>Director, Department of Human Resources</w:t>
      </w:r>
    </w:p>
    <w:p w:rsidR="00E375B2" w:rsidRPr="006E0B14" w:rsidRDefault="00E375B2" w:rsidP="002B5291">
      <w:pPr>
        <w:pStyle w:val="NoSpacing"/>
      </w:pPr>
    </w:p>
    <w:p w:rsidR="002D672B" w:rsidRPr="006E0B14" w:rsidRDefault="002D672B" w:rsidP="002B5291">
      <w:pPr>
        <w:pStyle w:val="NoSpacing"/>
        <w:ind w:left="1440" w:right="1440"/>
      </w:pPr>
    </w:p>
    <w:sectPr w:rsidR="002D672B" w:rsidRPr="006E0B14" w:rsidSect="001742E9">
      <w:footerReference w:type="default" r:id="rId9"/>
      <w:headerReference w:type="first" r:id="rId10"/>
      <w:footerReference w:type="first" r:id="rId11"/>
      <w:pgSz w:w="12240" w:h="15840" w:code="1"/>
      <w:pgMar w:top="1440" w:right="0" w:bottom="144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71" w:rsidRDefault="00836771">
      <w:r>
        <w:separator/>
      </w:r>
    </w:p>
  </w:endnote>
  <w:endnote w:type="continuationSeparator" w:id="0">
    <w:p w:rsidR="00836771" w:rsidRDefault="0083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92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19BB" w:rsidRDefault="002819BB">
            <w:pPr>
              <w:pStyle w:val="Footer"/>
              <w:jc w:val="center"/>
              <w:rPr>
                <w:b/>
                <w:bCs w:val="0"/>
                <w:sz w:val="20"/>
                <w:szCs w:val="20"/>
              </w:rPr>
            </w:pPr>
            <w:r w:rsidRPr="002819BB">
              <w:rPr>
                <w:sz w:val="20"/>
                <w:szCs w:val="20"/>
              </w:rPr>
              <w:t xml:space="preserve">Page </w:t>
            </w:r>
            <w:r w:rsidRPr="002819BB">
              <w:rPr>
                <w:b/>
                <w:bCs w:val="0"/>
                <w:sz w:val="20"/>
                <w:szCs w:val="20"/>
              </w:rPr>
              <w:fldChar w:fldCharType="begin"/>
            </w:r>
            <w:r w:rsidRPr="002819BB">
              <w:rPr>
                <w:b/>
                <w:sz w:val="20"/>
                <w:szCs w:val="20"/>
              </w:rPr>
              <w:instrText xml:space="preserve"> PAGE </w:instrText>
            </w:r>
            <w:r w:rsidRPr="002819BB">
              <w:rPr>
                <w:b/>
                <w:bCs w:val="0"/>
                <w:sz w:val="20"/>
                <w:szCs w:val="20"/>
              </w:rPr>
              <w:fldChar w:fldCharType="separate"/>
            </w:r>
            <w:r w:rsidR="00F57E81">
              <w:rPr>
                <w:b/>
                <w:noProof/>
                <w:sz w:val="20"/>
                <w:szCs w:val="20"/>
              </w:rPr>
              <w:t>2</w:t>
            </w:r>
            <w:r w:rsidRPr="002819BB">
              <w:rPr>
                <w:b/>
                <w:bCs w:val="0"/>
                <w:sz w:val="20"/>
                <w:szCs w:val="20"/>
              </w:rPr>
              <w:fldChar w:fldCharType="end"/>
            </w:r>
            <w:r w:rsidRPr="002819BB">
              <w:rPr>
                <w:sz w:val="20"/>
                <w:szCs w:val="20"/>
              </w:rPr>
              <w:t xml:space="preserve"> of </w:t>
            </w:r>
            <w:r w:rsidRPr="002819BB">
              <w:rPr>
                <w:b/>
                <w:bCs w:val="0"/>
                <w:sz w:val="20"/>
                <w:szCs w:val="20"/>
              </w:rPr>
              <w:fldChar w:fldCharType="begin"/>
            </w:r>
            <w:r w:rsidRPr="002819BB">
              <w:rPr>
                <w:b/>
                <w:sz w:val="20"/>
                <w:szCs w:val="20"/>
              </w:rPr>
              <w:instrText xml:space="preserve"> NUMPAGES  </w:instrText>
            </w:r>
            <w:r w:rsidRPr="002819BB">
              <w:rPr>
                <w:b/>
                <w:bCs w:val="0"/>
                <w:sz w:val="20"/>
                <w:szCs w:val="20"/>
              </w:rPr>
              <w:fldChar w:fldCharType="separate"/>
            </w:r>
            <w:r w:rsidR="00F57E81">
              <w:rPr>
                <w:b/>
                <w:noProof/>
                <w:sz w:val="20"/>
                <w:szCs w:val="20"/>
              </w:rPr>
              <w:t>2</w:t>
            </w:r>
            <w:r w:rsidRPr="002819BB">
              <w:rPr>
                <w:b/>
                <w:bCs w:val="0"/>
                <w:sz w:val="20"/>
                <w:szCs w:val="20"/>
              </w:rPr>
              <w:fldChar w:fldCharType="end"/>
            </w:r>
          </w:p>
          <w:p w:rsidR="002819BB" w:rsidRDefault="002819BB" w:rsidP="00A314EB">
            <w:pPr>
              <w:pStyle w:val="Footer"/>
              <w:rPr>
                <w:b/>
                <w:bCs w:val="0"/>
                <w:sz w:val="20"/>
                <w:szCs w:val="20"/>
              </w:rPr>
            </w:pPr>
          </w:p>
          <w:p w:rsidR="002819BB" w:rsidRPr="002819BB" w:rsidRDefault="00F57E81">
            <w:pPr>
              <w:pStyle w:val="Footer"/>
              <w:jc w:val="center"/>
              <w:rPr>
                <w:sz w:val="20"/>
                <w:szCs w:val="20"/>
              </w:rPr>
            </w:pPr>
          </w:p>
        </w:sdtContent>
      </w:sdt>
    </w:sdtContent>
  </w:sdt>
  <w:p w:rsidR="002819BB" w:rsidRDefault="00281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BB" w:rsidRDefault="002819BB">
    <w:pPr>
      <w:pStyle w:val="Footer"/>
    </w:pPr>
  </w:p>
  <w:p w:rsidR="00836771" w:rsidRDefault="00836771">
    <w:pPr>
      <w:pStyle w:val="Footer"/>
    </w:pPr>
    <w:r>
      <w:rPr>
        <w:noProof/>
      </w:rPr>
      <w:drawing>
        <wp:inline distT="0" distB="0" distL="0" distR="0">
          <wp:extent cx="7766050" cy="883285"/>
          <wp:effectExtent l="19050" t="0" r="6350" b="0"/>
          <wp:docPr id="2" name="Picture 2" descr="PARKS_LH_cAjDfoot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S_LH_cAjDfoot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71" w:rsidRDefault="00836771">
      <w:r>
        <w:separator/>
      </w:r>
    </w:p>
  </w:footnote>
  <w:footnote w:type="continuationSeparator" w:id="0">
    <w:p w:rsidR="00836771" w:rsidRDefault="0083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71" w:rsidRDefault="00836771">
    <w:pPr>
      <w:pStyle w:val="Header"/>
      <w:ind w:left="-1440" w:right="-1440"/>
      <w:jc w:val="center"/>
    </w:pPr>
    <w:r>
      <w:rPr>
        <w:noProof/>
      </w:rPr>
      <w:drawing>
        <wp:inline distT="0" distB="0" distL="0" distR="0">
          <wp:extent cx="7772400" cy="2125345"/>
          <wp:effectExtent l="19050" t="0" r="0" b="0"/>
          <wp:docPr id="1" name="Picture 1" descr="PARKS_LH_cAjDhead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S_LH_cAjDhead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2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6771" w:rsidRDefault="00836771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713EA"/>
    <w:multiLevelType w:val="hybridMultilevel"/>
    <w:tmpl w:val="FF7AA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C"/>
    <w:rsid w:val="000041E0"/>
    <w:rsid w:val="00015993"/>
    <w:rsid w:val="00024B47"/>
    <w:rsid w:val="000907A7"/>
    <w:rsid w:val="000B67B6"/>
    <w:rsid w:val="00106166"/>
    <w:rsid w:val="001167E0"/>
    <w:rsid w:val="00140786"/>
    <w:rsid w:val="00167CE5"/>
    <w:rsid w:val="001742E9"/>
    <w:rsid w:val="00175F3A"/>
    <w:rsid w:val="00196634"/>
    <w:rsid w:val="001D0851"/>
    <w:rsid w:val="00201F08"/>
    <w:rsid w:val="002156A8"/>
    <w:rsid w:val="0022099C"/>
    <w:rsid w:val="00250567"/>
    <w:rsid w:val="002516F5"/>
    <w:rsid w:val="002819BB"/>
    <w:rsid w:val="0028525F"/>
    <w:rsid w:val="002B5291"/>
    <w:rsid w:val="002D672B"/>
    <w:rsid w:val="002E3863"/>
    <w:rsid w:val="00317E52"/>
    <w:rsid w:val="00343FD2"/>
    <w:rsid w:val="0035484A"/>
    <w:rsid w:val="00365F95"/>
    <w:rsid w:val="00384243"/>
    <w:rsid w:val="003B26C3"/>
    <w:rsid w:val="003E4F14"/>
    <w:rsid w:val="00433259"/>
    <w:rsid w:val="004433CD"/>
    <w:rsid w:val="00451A66"/>
    <w:rsid w:val="004524F1"/>
    <w:rsid w:val="00474543"/>
    <w:rsid w:val="004866A0"/>
    <w:rsid w:val="00504D6E"/>
    <w:rsid w:val="0051342E"/>
    <w:rsid w:val="00542123"/>
    <w:rsid w:val="00546278"/>
    <w:rsid w:val="00551BAB"/>
    <w:rsid w:val="005703A7"/>
    <w:rsid w:val="005B4CF9"/>
    <w:rsid w:val="00624FCA"/>
    <w:rsid w:val="00631955"/>
    <w:rsid w:val="00633477"/>
    <w:rsid w:val="00670F6C"/>
    <w:rsid w:val="00680710"/>
    <w:rsid w:val="00692326"/>
    <w:rsid w:val="006B112B"/>
    <w:rsid w:val="006B4616"/>
    <w:rsid w:val="006E0B14"/>
    <w:rsid w:val="007064CB"/>
    <w:rsid w:val="007648A1"/>
    <w:rsid w:val="00782DBF"/>
    <w:rsid w:val="00836771"/>
    <w:rsid w:val="008719CD"/>
    <w:rsid w:val="008C0F79"/>
    <w:rsid w:val="008D1571"/>
    <w:rsid w:val="008F43E6"/>
    <w:rsid w:val="00981D93"/>
    <w:rsid w:val="009B4706"/>
    <w:rsid w:val="009B78F9"/>
    <w:rsid w:val="009F4434"/>
    <w:rsid w:val="00A1208C"/>
    <w:rsid w:val="00A314EB"/>
    <w:rsid w:val="00A32E59"/>
    <w:rsid w:val="00A63859"/>
    <w:rsid w:val="00A657DC"/>
    <w:rsid w:val="00AF0997"/>
    <w:rsid w:val="00B120C8"/>
    <w:rsid w:val="00B205B4"/>
    <w:rsid w:val="00B4511D"/>
    <w:rsid w:val="00B53ADD"/>
    <w:rsid w:val="00B61A45"/>
    <w:rsid w:val="00B64BDA"/>
    <w:rsid w:val="00B75000"/>
    <w:rsid w:val="00B80E20"/>
    <w:rsid w:val="00BB2F24"/>
    <w:rsid w:val="00BB6226"/>
    <w:rsid w:val="00BC0997"/>
    <w:rsid w:val="00C66C67"/>
    <w:rsid w:val="00C73CD7"/>
    <w:rsid w:val="00C90F96"/>
    <w:rsid w:val="00CA41B7"/>
    <w:rsid w:val="00CB7ED7"/>
    <w:rsid w:val="00CC6CE3"/>
    <w:rsid w:val="00CD28B7"/>
    <w:rsid w:val="00CF4FA0"/>
    <w:rsid w:val="00CF6347"/>
    <w:rsid w:val="00D2050C"/>
    <w:rsid w:val="00D73A65"/>
    <w:rsid w:val="00D77F66"/>
    <w:rsid w:val="00D855D1"/>
    <w:rsid w:val="00DB5A28"/>
    <w:rsid w:val="00E20039"/>
    <w:rsid w:val="00E24531"/>
    <w:rsid w:val="00E375B2"/>
    <w:rsid w:val="00E7324F"/>
    <w:rsid w:val="00EB39F1"/>
    <w:rsid w:val="00EC0BBC"/>
    <w:rsid w:val="00ED135E"/>
    <w:rsid w:val="00ED152E"/>
    <w:rsid w:val="00EE6213"/>
    <w:rsid w:val="00EF567C"/>
    <w:rsid w:val="00EF6174"/>
    <w:rsid w:val="00F15A95"/>
    <w:rsid w:val="00F4608E"/>
    <w:rsid w:val="00F57E81"/>
    <w:rsid w:val="00F85A84"/>
    <w:rsid w:val="00FB7869"/>
    <w:rsid w:val="00FD13C3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FCEA7EA-A4EB-4EC3-B305-002B950C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CB"/>
    <w:rPr>
      <w:rFonts w:ascii="Century Gothic" w:hAnsi="Century Gothic"/>
      <w:sz w:val="22"/>
      <w:szCs w:val="24"/>
    </w:rPr>
  </w:style>
  <w:style w:type="paragraph" w:styleId="Heading1">
    <w:name w:val="heading 1"/>
    <w:basedOn w:val="Normal"/>
    <w:next w:val="Normal"/>
    <w:qFormat/>
    <w:rsid w:val="001742E9"/>
    <w:pPr>
      <w:keepNext/>
      <w:outlineLvl w:val="0"/>
    </w:pPr>
    <w:rPr>
      <w:rFonts w:ascii="Arial" w:hAnsi="Arial" w:cs="Arial"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1742E9"/>
    <w:pPr>
      <w:keepNext/>
      <w:outlineLvl w:val="1"/>
    </w:pPr>
    <w:rPr>
      <w:rFonts w:ascii="Arial" w:hAnsi="Arial" w:cs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742E9"/>
    <w:pPr>
      <w:keepNext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rsid w:val="001742E9"/>
    <w:pPr>
      <w:keepNext/>
      <w:jc w:val="right"/>
      <w:outlineLvl w:val="3"/>
    </w:pPr>
    <w:rPr>
      <w:rFonts w:ascii="Arial" w:hAnsi="Arial" w:cs="Arial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742E9"/>
    <w:pPr>
      <w:tabs>
        <w:tab w:val="center" w:pos="4320"/>
        <w:tab w:val="right" w:pos="8640"/>
      </w:tabs>
    </w:pPr>
    <w:rPr>
      <w:rFonts w:ascii="Arial" w:hAnsi="Arial" w:cs="Arial"/>
      <w:bCs/>
      <w:sz w:val="24"/>
    </w:rPr>
  </w:style>
  <w:style w:type="paragraph" w:styleId="Footer">
    <w:name w:val="footer"/>
    <w:basedOn w:val="Normal"/>
    <w:link w:val="FooterChar"/>
    <w:uiPriority w:val="99"/>
    <w:rsid w:val="001742E9"/>
    <w:pPr>
      <w:tabs>
        <w:tab w:val="center" w:pos="4320"/>
        <w:tab w:val="right" w:pos="8640"/>
      </w:tabs>
    </w:pPr>
    <w:rPr>
      <w:rFonts w:ascii="Arial" w:hAnsi="Arial" w:cs="Arial"/>
      <w:bCs/>
      <w:sz w:val="24"/>
    </w:rPr>
  </w:style>
  <w:style w:type="character" w:styleId="PageNumber">
    <w:name w:val="page number"/>
    <w:basedOn w:val="DefaultParagraphFont"/>
    <w:semiHidden/>
    <w:rsid w:val="001742E9"/>
  </w:style>
  <w:style w:type="paragraph" w:styleId="NoSpacing">
    <w:name w:val="No Spacing"/>
    <w:uiPriority w:val="1"/>
    <w:qFormat/>
    <w:rsid w:val="00C73CD7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B2"/>
    <w:rPr>
      <w:rFonts w:ascii="Tahoma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B2"/>
    <w:rPr>
      <w:rFonts w:ascii="Tahoma" w:hAnsi="Tahoma" w:cs="Tahoma"/>
      <w:bCs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451A66"/>
    <w:pPr>
      <w:widowControl w:val="0"/>
      <w:tabs>
        <w:tab w:val="left" w:pos="660"/>
        <w:tab w:val="left" w:pos="1188"/>
        <w:tab w:val="left" w:pos="1713"/>
        <w:tab w:val="left" w:pos="4320"/>
        <w:tab w:val="left" w:pos="5040"/>
        <w:tab w:val="left" w:pos="5760"/>
        <w:tab w:val="left" w:pos="6480"/>
        <w:tab w:val="left" w:pos="9360"/>
      </w:tabs>
      <w:spacing w:line="247" w:lineRule="exact"/>
      <w:ind w:left="660"/>
    </w:pPr>
    <w:rPr>
      <w:rFonts w:ascii="Courier" w:hAnsi="Courier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1A66"/>
    <w:rPr>
      <w:rFonts w:ascii="Courier" w:hAnsi="Courier"/>
      <w:snapToGrid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819BB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schloesser\Desktop\Darg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34A3-DC1E-4AC4-87F2-D741FE5E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Dargle Letterhead.dot</Template>
  <TotalTime>2</TotalTime>
  <Pages>2</Pages>
  <Words>256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Milwaukee County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Milwaukee County</dc:creator>
  <cp:keywords/>
  <dc:description/>
  <cp:lastModifiedBy>Francis, Jen</cp:lastModifiedBy>
  <cp:revision>4</cp:revision>
  <cp:lastPrinted>2016-08-26T16:51:00Z</cp:lastPrinted>
  <dcterms:created xsi:type="dcterms:W3CDTF">2016-10-31T21:25:00Z</dcterms:created>
  <dcterms:modified xsi:type="dcterms:W3CDTF">2016-11-17T16:17:00Z</dcterms:modified>
</cp:coreProperties>
</file>