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E21F" w14:textId="77777777" w:rsidR="00944D3C" w:rsidRDefault="00944D3C">
      <w:pPr>
        <w:pStyle w:val="Title"/>
        <w:ind w:right="90"/>
        <w:rPr>
          <w:rFonts w:ascii="Times New Roman" w:hAnsi="Times New Roman" w:cs="Times New Roman"/>
        </w:rPr>
      </w:pPr>
      <w:r>
        <w:rPr>
          <w:rFonts w:ascii="Times New Roman" w:hAnsi="Times New Roman" w:cs="Times New Roman"/>
        </w:rPr>
        <w:t>COUNTY OF MILWAUKEE</w:t>
      </w:r>
    </w:p>
    <w:p w14:paraId="69F6E220" w14:textId="77777777" w:rsidR="00944D3C" w:rsidRDefault="00944D3C">
      <w:pPr>
        <w:tabs>
          <w:tab w:val="left" w:pos="1080"/>
          <w:tab w:val="left" w:pos="1267"/>
        </w:tabs>
        <w:ind w:right="90"/>
        <w:jc w:val="center"/>
        <w:outlineLvl w:val="0"/>
        <w:rPr>
          <w:rFonts w:cs="Times New Roman"/>
        </w:rPr>
      </w:pPr>
      <w:r>
        <w:rPr>
          <w:rFonts w:cs="Times New Roman"/>
        </w:rPr>
        <w:t>INTER-OFFICE COMMUNICATION</w:t>
      </w:r>
    </w:p>
    <w:p w14:paraId="69F6E221" w14:textId="77777777" w:rsidR="00944D3C" w:rsidRDefault="00944D3C">
      <w:pPr>
        <w:tabs>
          <w:tab w:val="left" w:pos="1080"/>
          <w:tab w:val="left" w:pos="1267"/>
        </w:tabs>
        <w:ind w:right="90"/>
        <w:jc w:val="center"/>
        <w:outlineLvl w:val="0"/>
        <w:rPr>
          <w:rFonts w:cs="Times New Roman"/>
        </w:rPr>
      </w:pPr>
    </w:p>
    <w:p w14:paraId="69F6E222" w14:textId="77777777" w:rsidR="00944D3C" w:rsidRDefault="00944D3C">
      <w:pPr>
        <w:tabs>
          <w:tab w:val="left" w:pos="1080"/>
          <w:tab w:val="left" w:pos="1267"/>
        </w:tabs>
        <w:ind w:right="90"/>
        <w:rPr>
          <w:rFonts w:cs="Times New Roman"/>
          <w:b/>
          <w:bCs/>
        </w:rPr>
      </w:pPr>
    </w:p>
    <w:p w14:paraId="69F6E223" w14:textId="60C9E750" w:rsidR="00944D3C" w:rsidRDefault="00944D3C">
      <w:pPr>
        <w:tabs>
          <w:tab w:val="left" w:pos="1080"/>
          <w:tab w:val="left" w:pos="1267"/>
        </w:tabs>
        <w:ind w:right="90"/>
        <w:rPr>
          <w:rFonts w:cs="Times New Roman"/>
        </w:rPr>
      </w:pPr>
      <w:r w:rsidRPr="7C9D1BEC">
        <w:rPr>
          <w:rFonts w:eastAsia="Times New Roman" w:cs="Times New Roman"/>
          <w:b/>
          <w:bCs/>
        </w:rPr>
        <w:t>Date:</w:t>
      </w:r>
      <w:r>
        <w:rPr>
          <w:rFonts w:cs="Times New Roman"/>
        </w:rPr>
        <w:tab/>
      </w:r>
      <w:r w:rsidR="7C9D1BEC" w:rsidRPr="7C9D1BEC">
        <w:rPr>
          <w:rFonts w:eastAsia="Times New Roman" w:cs="Times New Roman"/>
          <w:b/>
          <w:bCs/>
        </w:rPr>
        <w:t xml:space="preserve"> </w:t>
      </w:r>
      <w:r>
        <w:rPr>
          <w:rFonts w:cs="Times New Roman"/>
        </w:rPr>
        <w:tab/>
      </w:r>
      <w:r w:rsidR="007661CF" w:rsidRPr="7C9D1BEC">
        <w:rPr>
          <w:rFonts w:eastAsia="Times New Roman" w:cs="Times New Roman"/>
        </w:rPr>
        <w:t>January 4</w:t>
      </w:r>
      <w:r w:rsidR="00E1296F" w:rsidRPr="7C9D1BEC">
        <w:rPr>
          <w:rFonts w:eastAsia="Times New Roman" w:cs="Times New Roman"/>
        </w:rPr>
        <w:t>, 2016</w:t>
      </w:r>
    </w:p>
    <w:p w14:paraId="69F6E224" w14:textId="77777777" w:rsidR="00944D3C" w:rsidRDefault="00944D3C">
      <w:pPr>
        <w:tabs>
          <w:tab w:val="left" w:pos="1080"/>
          <w:tab w:val="left" w:pos="1267"/>
        </w:tabs>
        <w:ind w:right="90"/>
        <w:rPr>
          <w:rFonts w:cs="Times New Roman"/>
        </w:rPr>
      </w:pPr>
    </w:p>
    <w:p w14:paraId="69F6E225" w14:textId="4D9971A9" w:rsidR="00944D3C" w:rsidRDefault="00944D3C">
      <w:pPr>
        <w:tabs>
          <w:tab w:val="left" w:pos="1080"/>
          <w:tab w:val="left" w:pos="1267"/>
        </w:tabs>
        <w:ind w:left="1260" w:right="90" w:hanging="1260"/>
        <w:rPr>
          <w:rFonts w:cs="Times New Roman"/>
        </w:rPr>
      </w:pPr>
      <w:r w:rsidRPr="7C9D1BEC">
        <w:rPr>
          <w:rFonts w:eastAsia="Times New Roman" w:cs="Times New Roman"/>
          <w:b/>
          <w:bCs/>
        </w:rPr>
        <w:t>To:</w:t>
      </w:r>
      <w:r>
        <w:rPr>
          <w:rFonts w:cs="Times New Roman"/>
        </w:rPr>
        <w:tab/>
      </w:r>
      <w:r>
        <w:rPr>
          <w:rFonts w:cs="Times New Roman"/>
        </w:rPr>
        <w:tab/>
      </w:r>
      <w:r w:rsidR="00F86ED1" w:rsidRPr="7C9D1BEC">
        <w:rPr>
          <w:rFonts w:eastAsia="Times New Roman" w:cs="Times New Roman"/>
        </w:rPr>
        <w:t>Chair</w:t>
      </w:r>
      <w:r w:rsidRPr="7C9D1BEC">
        <w:rPr>
          <w:rFonts w:eastAsia="Times New Roman" w:cs="Times New Roman"/>
        </w:rPr>
        <w:t xml:space="preserve">man </w:t>
      </w:r>
      <w:r w:rsidR="00F86ED1" w:rsidRPr="7C9D1BEC">
        <w:rPr>
          <w:rFonts w:eastAsia="Times New Roman" w:cs="Times New Roman"/>
        </w:rPr>
        <w:t>Theodore Lipscomb</w:t>
      </w:r>
      <w:r w:rsidR="0027748C" w:rsidRPr="7C9D1BEC">
        <w:rPr>
          <w:rFonts w:eastAsia="Times New Roman" w:cs="Times New Roman"/>
        </w:rPr>
        <w:t>, Milwaukee County Board of Supervisors</w:t>
      </w:r>
    </w:p>
    <w:p w14:paraId="69F6E226" w14:textId="77777777" w:rsidR="00944D3C" w:rsidRDefault="00944D3C">
      <w:pPr>
        <w:tabs>
          <w:tab w:val="left" w:pos="1080"/>
          <w:tab w:val="left" w:pos="1267"/>
        </w:tabs>
        <w:ind w:left="1260" w:right="90" w:hanging="1260"/>
        <w:rPr>
          <w:rFonts w:cs="Times New Roman"/>
        </w:rPr>
      </w:pPr>
      <w:r>
        <w:rPr>
          <w:rFonts w:cs="Times New Roman"/>
        </w:rPr>
        <w:tab/>
      </w:r>
      <w:r>
        <w:rPr>
          <w:rFonts w:cs="Times New Roman"/>
        </w:rPr>
        <w:tab/>
      </w:r>
      <w:r>
        <w:rPr>
          <w:rFonts w:cs="Times New Roman"/>
        </w:rPr>
        <w:tab/>
      </w:r>
      <w:r>
        <w:rPr>
          <w:rFonts w:cs="Times New Roman"/>
        </w:rPr>
        <w:tab/>
      </w:r>
    </w:p>
    <w:p w14:paraId="69F6E227" w14:textId="54C5A294" w:rsidR="00944D3C" w:rsidRDefault="00944D3C">
      <w:pPr>
        <w:tabs>
          <w:tab w:val="left" w:pos="1080"/>
          <w:tab w:val="left" w:pos="1267"/>
        </w:tabs>
        <w:ind w:left="1267" w:right="90" w:hanging="1267"/>
        <w:outlineLvl w:val="0"/>
        <w:rPr>
          <w:rFonts w:cs="Times New Roman"/>
        </w:rPr>
      </w:pPr>
      <w:r w:rsidRPr="7C9D1BEC">
        <w:rPr>
          <w:rFonts w:eastAsia="Times New Roman" w:cs="Times New Roman"/>
          <w:b/>
          <w:bCs/>
        </w:rPr>
        <w:t>From:</w:t>
      </w:r>
      <w:r>
        <w:rPr>
          <w:rFonts w:cs="Times New Roman"/>
        </w:rPr>
        <w:tab/>
      </w:r>
      <w:r w:rsidR="7C9D1BEC" w:rsidRPr="7C9D1BEC">
        <w:rPr>
          <w:rFonts w:eastAsia="Times New Roman" w:cs="Times New Roman"/>
          <w:b/>
          <w:bCs/>
        </w:rPr>
        <w:t xml:space="preserve"> </w:t>
      </w:r>
      <w:r>
        <w:rPr>
          <w:rFonts w:cs="Times New Roman"/>
        </w:rPr>
        <w:tab/>
      </w:r>
      <w:r w:rsidR="004C079F" w:rsidRPr="7C9D1BEC">
        <w:rPr>
          <w:rFonts w:eastAsia="Times New Roman" w:cs="Times New Roman"/>
        </w:rPr>
        <w:t>Jeremy Theis</w:t>
      </w:r>
      <w:r w:rsidRPr="7C9D1BEC">
        <w:rPr>
          <w:rFonts w:eastAsia="Times New Roman" w:cs="Times New Roman"/>
        </w:rPr>
        <w:t>, Director</w:t>
      </w:r>
      <w:r w:rsidR="004C079F" w:rsidRPr="7C9D1BEC">
        <w:rPr>
          <w:rFonts w:eastAsia="Times New Roman" w:cs="Times New Roman"/>
        </w:rPr>
        <w:t>, DAS Facilities Management Division</w:t>
      </w:r>
    </w:p>
    <w:p w14:paraId="69F6E228" w14:textId="77777777" w:rsidR="00944D3C" w:rsidRDefault="00944D3C">
      <w:pPr>
        <w:tabs>
          <w:tab w:val="left" w:pos="1080"/>
          <w:tab w:val="left" w:pos="1267"/>
        </w:tabs>
        <w:ind w:left="1267" w:right="90" w:hanging="1267"/>
        <w:outlineLvl w:val="0"/>
        <w:rPr>
          <w:rFonts w:cs="Times New Roman"/>
        </w:rPr>
      </w:pPr>
      <w:r>
        <w:rPr>
          <w:rFonts w:cs="Times New Roman"/>
          <w:b/>
          <w:bCs/>
        </w:rPr>
        <w:tab/>
      </w:r>
      <w:r>
        <w:rPr>
          <w:rFonts w:cs="Times New Roman"/>
          <w:b/>
          <w:bCs/>
        </w:rPr>
        <w:tab/>
      </w:r>
      <w:r>
        <w:rPr>
          <w:rFonts w:cs="Times New Roman"/>
        </w:rPr>
        <w:t xml:space="preserve"> </w:t>
      </w:r>
    </w:p>
    <w:p w14:paraId="69F6E229" w14:textId="227D2F43" w:rsidR="00944D3C" w:rsidRDefault="00944D3C">
      <w:pPr>
        <w:tabs>
          <w:tab w:val="left" w:pos="1080"/>
          <w:tab w:val="left" w:pos="1267"/>
        </w:tabs>
        <w:ind w:left="1267" w:right="90" w:hanging="1267"/>
        <w:jc w:val="both"/>
        <w:rPr>
          <w:rFonts w:cs="Times New Roman"/>
        </w:rPr>
      </w:pPr>
      <w:r w:rsidRPr="7C9D1BEC">
        <w:rPr>
          <w:rFonts w:eastAsia="Times New Roman" w:cs="Times New Roman"/>
          <w:b/>
          <w:bCs/>
        </w:rPr>
        <w:t>Subject:</w:t>
      </w:r>
      <w:r>
        <w:rPr>
          <w:rFonts w:cs="Times New Roman"/>
        </w:rPr>
        <w:tab/>
      </w:r>
      <w:r w:rsidR="7C9D1BEC" w:rsidRPr="7C9D1BEC">
        <w:rPr>
          <w:rFonts w:eastAsia="Times New Roman" w:cs="Times New Roman"/>
          <w:b/>
          <w:bCs/>
        </w:rPr>
        <w:t xml:space="preserve"> </w:t>
      </w:r>
      <w:r>
        <w:rPr>
          <w:rFonts w:cs="Times New Roman"/>
        </w:rPr>
        <w:tab/>
      </w:r>
      <w:r w:rsidRPr="7C9D1BEC">
        <w:rPr>
          <w:rFonts w:eastAsia="Times New Roman" w:cs="Times New Roman"/>
        </w:rPr>
        <w:t>Consolidated Fac</w:t>
      </w:r>
      <w:r w:rsidR="00E1296F" w:rsidRPr="7C9D1BEC">
        <w:rPr>
          <w:rFonts w:eastAsia="Times New Roman" w:cs="Times New Roman"/>
        </w:rPr>
        <w:t>ilities Plan (CFP)</w:t>
      </w:r>
      <w:r w:rsidR="007832FA" w:rsidRPr="7C9D1BEC">
        <w:rPr>
          <w:rFonts w:eastAsia="Times New Roman" w:cs="Times New Roman"/>
        </w:rPr>
        <w:t xml:space="preserve"> Quarterly Update</w:t>
      </w:r>
      <w:r w:rsidR="00E1296F" w:rsidRPr="7C9D1BEC">
        <w:rPr>
          <w:rFonts w:eastAsia="Times New Roman" w:cs="Times New Roman"/>
        </w:rPr>
        <w:t xml:space="preserve"> – Informational </w:t>
      </w:r>
      <w:r w:rsidR="002C00EA" w:rsidRPr="7C9D1BEC">
        <w:rPr>
          <w:rFonts w:eastAsia="Times New Roman" w:cs="Times New Roman"/>
        </w:rPr>
        <w:t>Report</w:t>
      </w:r>
    </w:p>
    <w:p w14:paraId="69F6E22A" w14:textId="77777777" w:rsidR="00944D3C" w:rsidRDefault="00944D3C">
      <w:pPr>
        <w:pBdr>
          <w:bottom w:val="single" w:sz="12" w:space="1" w:color="auto"/>
        </w:pBdr>
        <w:ind w:left="-720"/>
        <w:rPr>
          <w:rFonts w:cs="Times New Roman"/>
        </w:rPr>
      </w:pPr>
    </w:p>
    <w:p w14:paraId="69F6E22B" w14:textId="77777777" w:rsidR="00944D3C" w:rsidRDefault="00944D3C">
      <w:pPr>
        <w:pStyle w:val="NormalWeb"/>
        <w:spacing w:before="0" w:beforeAutospacing="0" w:after="0" w:afterAutospacing="0"/>
        <w:rPr>
          <w:b/>
          <w:bCs/>
        </w:rPr>
      </w:pPr>
    </w:p>
    <w:p w14:paraId="69F6E22C" w14:textId="77777777" w:rsidR="00944D3C" w:rsidRDefault="00944D3C">
      <w:pPr>
        <w:pStyle w:val="NormalWeb"/>
        <w:spacing w:before="0" w:beforeAutospacing="0" w:after="0" w:afterAutospacing="0"/>
        <w:rPr>
          <w:b/>
          <w:bCs/>
        </w:rPr>
      </w:pPr>
      <w:r>
        <w:rPr>
          <w:b/>
          <w:bCs/>
        </w:rPr>
        <w:t>BACKGROUND</w:t>
      </w:r>
    </w:p>
    <w:p w14:paraId="69F6E22D" w14:textId="77777777" w:rsidR="00944D3C" w:rsidRDefault="00944D3C">
      <w:pPr>
        <w:pStyle w:val="NormalWeb"/>
        <w:spacing w:before="0" w:beforeAutospacing="0" w:after="0" w:afterAutospacing="0"/>
      </w:pPr>
    </w:p>
    <w:p w14:paraId="69F6E22E" w14:textId="77777777" w:rsidR="00944D3C" w:rsidRDefault="00944D3C">
      <w:pPr>
        <w:pStyle w:val="NormalWeb"/>
        <w:spacing w:before="0" w:beforeAutospacing="0" w:after="0" w:afterAutospacing="0"/>
      </w:pPr>
      <w:r>
        <w:t xml:space="preserve">Resolution #14-483 was approved at the Special Transportation, Public Works &amp; Transit Committee Meeting and the June 26, 2014 Milwaukee County Board Meeting providing direction from the Board to the Department of Administrative Services (DAS) regarding specific actions related to the Consolidated Facilities Plan (CFP).  </w:t>
      </w:r>
    </w:p>
    <w:p w14:paraId="69F6E22F" w14:textId="77777777" w:rsidR="00352DF9" w:rsidRDefault="00352DF9">
      <w:pPr>
        <w:pStyle w:val="NormalWeb"/>
        <w:spacing w:before="0" w:beforeAutospacing="0" w:after="0" w:afterAutospacing="0"/>
      </w:pPr>
    </w:p>
    <w:p w14:paraId="69F6E230" w14:textId="77777777" w:rsidR="00352DF9" w:rsidRDefault="00426756" w:rsidP="00352DF9">
      <w:pPr>
        <w:pStyle w:val="NormalWeb"/>
        <w:spacing w:before="0" w:beforeAutospacing="0" w:after="0" w:afterAutospacing="0"/>
      </w:pPr>
      <w:r>
        <w:t xml:space="preserve">The </w:t>
      </w:r>
      <w:r w:rsidRPr="00426756">
        <w:t xml:space="preserve">2013 C.B. Richard Ellis (CBRE) </w:t>
      </w:r>
      <w:r w:rsidR="00584B2A">
        <w:t>Co</w:t>
      </w:r>
      <w:r w:rsidRPr="00426756">
        <w:t xml:space="preserve">mprehensive </w:t>
      </w:r>
      <w:r w:rsidR="00584B2A">
        <w:t xml:space="preserve">Facilities Plan Report </w:t>
      </w:r>
      <w:r w:rsidRPr="00426756">
        <w:t>review</w:t>
      </w:r>
      <w:r w:rsidR="00584B2A">
        <w:t>ed M</w:t>
      </w:r>
      <w:r w:rsidRPr="00426756">
        <w:t>ilwaukee County’s core facilities and presented a series of recommendations to the</w:t>
      </w:r>
      <w:r w:rsidR="00584B2A">
        <w:t xml:space="preserve"> County Board that</w:t>
      </w:r>
      <w:r w:rsidRPr="00426756">
        <w:t>, if implemented, would result in significant efficiencies being realized by Milwaukee County</w:t>
      </w:r>
      <w:r w:rsidR="00584B2A">
        <w:t xml:space="preserve">, </w:t>
      </w:r>
      <w:r w:rsidRPr="00426756">
        <w:t>reduc</w:t>
      </w:r>
      <w:r w:rsidR="00584B2A">
        <w:t xml:space="preserve">ing </w:t>
      </w:r>
      <w:r w:rsidRPr="00426756">
        <w:t>its overall costs and better serv</w:t>
      </w:r>
      <w:r w:rsidR="00584B2A">
        <w:t xml:space="preserve">ing </w:t>
      </w:r>
      <w:r w:rsidRPr="00426756">
        <w:t>the needs of departments, employees and customers</w:t>
      </w:r>
      <w:r w:rsidR="00584B2A">
        <w:t>.  These recommendation</w:t>
      </w:r>
      <w:r w:rsidR="00F91964">
        <w:t>s</w:t>
      </w:r>
      <w:r w:rsidR="00584B2A">
        <w:t xml:space="preserve"> are:</w:t>
      </w:r>
    </w:p>
    <w:p w14:paraId="69F6E231" w14:textId="77777777" w:rsidR="00352DF9" w:rsidRDefault="00352DF9" w:rsidP="00352DF9">
      <w:pPr>
        <w:pStyle w:val="NormalWeb"/>
        <w:spacing w:before="0" w:beforeAutospacing="0" w:after="0" w:afterAutospacing="0"/>
      </w:pPr>
    </w:p>
    <w:p w14:paraId="69F6E232" w14:textId="0E0AD1F4" w:rsidR="00352DF9" w:rsidRDefault="00426756" w:rsidP="00352DF9">
      <w:pPr>
        <w:pStyle w:val="NormalWeb"/>
        <w:numPr>
          <w:ilvl w:val="0"/>
          <w:numId w:val="36"/>
        </w:numPr>
        <w:spacing w:before="0" w:beforeAutospacing="0" w:after="0" w:afterAutospacing="0"/>
      </w:pPr>
      <w:r w:rsidRPr="00426756">
        <w:t>Sell</w:t>
      </w:r>
      <w:r w:rsidR="00584B2A">
        <w:t xml:space="preserve"> </w:t>
      </w:r>
      <w:r w:rsidRPr="00426756">
        <w:t>assets to reduce the footprint of occupied space</w:t>
      </w:r>
    </w:p>
    <w:p w14:paraId="69F6E233" w14:textId="77777777" w:rsidR="00352DF9" w:rsidRDefault="00426756" w:rsidP="00352DF9">
      <w:pPr>
        <w:pStyle w:val="NormalWeb"/>
        <w:numPr>
          <w:ilvl w:val="0"/>
          <w:numId w:val="36"/>
        </w:numPr>
        <w:spacing w:before="0" w:beforeAutospacing="0" w:after="0" w:afterAutospacing="0"/>
      </w:pPr>
      <w:r w:rsidRPr="00426756">
        <w:t>Consolidate all real estate functions under on</w:t>
      </w:r>
      <w:r w:rsidR="00F91964">
        <w:t>e</w:t>
      </w:r>
      <w:r w:rsidRPr="00426756">
        <w:t xml:space="preserve"> County “Landlord”</w:t>
      </w:r>
    </w:p>
    <w:p w14:paraId="69F6E234" w14:textId="0771DB52" w:rsidR="00352DF9" w:rsidRDefault="00426756" w:rsidP="00352DF9">
      <w:pPr>
        <w:pStyle w:val="NormalWeb"/>
        <w:numPr>
          <w:ilvl w:val="0"/>
          <w:numId w:val="36"/>
        </w:numPr>
        <w:spacing w:before="0" w:beforeAutospacing="0" w:after="0" w:afterAutospacing="0"/>
      </w:pPr>
      <w:r w:rsidRPr="00426756">
        <w:t>Improve occupied space and optimize utilization</w:t>
      </w:r>
    </w:p>
    <w:p w14:paraId="69F6E235" w14:textId="762A8D48" w:rsidR="00352DF9" w:rsidRDefault="00426756" w:rsidP="00352DF9">
      <w:pPr>
        <w:pStyle w:val="NormalWeb"/>
        <w:numPr>
          <w:ilvl w:val="0"/>
          <w:numId w:val="36"/>
        </w:numPr>
        <w:spacing w:before="0" w:beforeAutospacing="0" w:after="0" w:afterAutospacing="0"/>
      </w:pPr>
      <w:r w:rsidRPr="00426756">
        <w:t>Develop systems and invest in training and tools</w:t>
      </w:r>
    </w:p>
    <w:p w14:paraId="69F6E236" w14:textId="540C41CB" w:rsidR="00426756" w:rsidRPr="00426756" w:rsidRDefault="00426756" w:rsidP="00352DF9">
      <w:pPr>
        <w:pStyle w:val="NormalWeb"/>
        <w:numPr>
          <w:ilvl w:val="0"/>
          <w:numId w:val="36"/>
        </w:numPr>
        <w:spacing w:before="0" w:beforeAutospacing="0" w:after="0" w:afterAutospacing="0"/>
      </w:pPr>
      <w:r w:rsidRPr="00426756">
        <w:t>Reallocate available savings from real estate back into the portfolio</w:t>
      </w:r>
    </w:p>
    <w:p w14:paraId="69F6E237" w14:textId="2E9D73D7" w:rsidR="00352DF9" w:rsidRDefault="00A56A01" w:rsidP="004C079F">
      <w:pPr>
        <w:pStyle w:val="NormalWeb"/>
      </w:pPr>
      <w:r>
        <w:t>The Department of Administrative Services</w:t>
      </w:r>
      <w:r w:rsidR="00426756" w:rsidRPr="00426756">
        <w:t xml:space="preserve"> has formed a </w:t>
      </w:r>
      <w:r w:rsidR="0057163D">
        <w:t>Consolidate</w:t>
      </w:r>
      <w:r w:rsidR="00890388">
        <w:t>d</w:t>
      </w:r>
      <w:r w:rsidR="0057163D">
        <w:t xml:space="preserve"> Facilities Planning (CFP)</w:t>
      </w:r>
      <w:r w:rsidR="009B74BC">
        <w:t xml:space="preserve"> Steering </w:t>
      </w:r>
      <w:r w:rsidR="0057163D">
        <w:t>Committee</w:t>
      </w:r>
      <w:r w:rsidR="00426756" w:rsidRPr="00426756">
        <w:t xml:space="preserve"> to </w:t>
      </w:r>
      <w:r w:rsidR="00352DF9">
        <w:t xml:space="preserve">continue </w:t>
      </w:r>
      <w:r w:rsidR="0057163D">
        <w:t xml:space="preserve">implementation of all </w:t>
      </w:r>
      <w:r w:rsidR="00426756" w:rsidRPr="00426756">
        <w:t>CFP</w:t>
      </w:r>
      <w:r w:rsidR="0057163D">
        <w:t xml:space="preserve"> initiatives</w:t>
      </w:r>
      <w:r w:rsidR="00426756" w:rsidRPr="00426756">
        <w:t xml:space="preserve"> based on</w:t>
      </w:r>
      <w:r w:rsidR="0005548D">
        <w:t xml:space="preserve"> Milwaukee County’s requirements and supported by</w:t>
      </w:r>
      <w:r w:rsidR="00426756" w:rsidRPr="00426756">
        <w:t xml:space="preserve"> CBRE’s recommendations</w:t>
      </w:r>
      <w:r w:rsidR="0005548D">
        <w:t xml:space="preserve"> and analyses</w:t>
      </w:r>
      <w:r w:rsidR="00426756" w:rsidRPr="00426756">
        <w:t>.</w:t>
      </w:r>
    </w:p>
    <w:p w14:paraId="69F6E238" w14:textId="77777777" w:rsidR="00D97105" w:rsidRDefault="00352DF9" w:rsidP="00D97105">
      <w:pPr>
        <w:pStyle w:val="NormalWeb"/>
        <w:spacing w:before="0" w:beforeAutospacing="0" w:after="0" w:afterAutospacing="0"/>
      </w:pPr>
      <w:r>
        <w:t xml:space="preserve">During the 2014 December cycle, </w:t>
      </w:r>
      <w:r w:rsidRPr="00352DF9">
        <w:t>CBRE</w:t>
      </w:r>
      <w:r>
        <w:t xml:space="preserve"> </w:t>
      </w:r>
      <w:r w:rsidR="00DB682A">
        <w:t>presented to the County Board th</w:t>
      </w:r>
      <w:r w:rsidR="00DB682A" w:rsidRPr="00DB682A">
        <w:t xml:space="preserve">e Milwaukee County Consolidated Facilities Plan </w:t>
      </w:r>
      <w:r w:rsidR="004D686B">
        <w:t xml:space="preserve">Phase 2 </w:t>
      </w:r>
      <w:r w:rsidR="00DB682A" w:rsidRPr="00DB682A">
        <w:t>Report which include</w:t>
      </w:r>
      <w:r w:rsidR="000D1478">
        <w:t>d</w:t>
      </w:r>
      <w:r w:rsidR="00DB682A" w:rsidRPr="00DB682A">
        <w:t xml:space="preserve"> the framework of a Master Space Plan.</w:t>
      </w:r>
      <w:r w:rsidR="004D686B">
        <w:t xml:space="preserve">  </w:t>
      </w:r>
      <w:r w:rsidR="004C079F">
        <w:t>Subsequently</w:t>
      </w:r>
      <w:r w:rsidR="002D7F3E">
        <w:t>,</w:t>
      </w:r>
      <w:r w:rsidR="004C079F">
        <w:t xml:space="preserve"> </w:t>
      </w:r>
      <w:r w:rsidR="00D97105">
        <w:t>during the 2015 March cycle, the Director of DAS presented to the County Board an informational report regarding the status of seven deliverables</w:t>
      </w:r>
      <w:r w:rsidR="004D686B">
        <w:t xml:space="preserve"> listed in said County Board resolution, including:</w:t>
      </w:r>
    </w:p>
    <w:p w14:paraId="69F6E239" w14:textId="77777777" w:rsidR="004D686B" w:rsidRDefault="004D686B" w:rsidP="00D97105">
      <w:pPr>
        <w:pStyle w:val="NormalWeb"/>
        <w:spacing w:before="0" w:beforeAutospacing="0" w:after="0" w:afterAutospacing="0"/>
      </w:pPr>
    </w:p>
    <w:p w14:paraId="69F6E23A" w14:textId="77777777" w:rsidR="00D97105" w:rsidRDefault="00D97105" w:rsidP="00F91964">
      <w:pPr>
        <w:pStyle w:val="NormalWeb"/>
        <w:numPr>
          <w:ilvl w:val="0"/>
          <w:numId w:val="39"/>
        </w:numPr>
        <w:contextualSpacing/>
      </w:pPr>
      <w:r>
        <w:t>Detailed Space Program and Relocation Strategy for City Campus</w:t>
      </w:r>
    </w:p>
    <w:p w14:paraId="69F6E23B" w14:textId="77777777" w:rsidR="00D97105" w:rsidRDefault="00D97105" w:rsidP="00F91964">
      <w:pPr>
        <w:pStyle w:val="NormalWeb"/>
        <w:numPr>
          <w:ilvl w:val="0"/>
          <w:numId w:val="39"/>
        </w:numPr>
        <w:contextualSpacing/>
      </w:pPr>
      <w:r>
        <w:t xml:space="preserve">Agreement with the State for Marcia Coggs Center </w:t>
      </w:r>
    </w:p>
    <w:p w14:paraId="69F6E23C" w14:textId="77777777" w:rsidR="00D97105" w:rsidRDefault="00D97105" w:rsidP="00F91964">
      <w:pPr>
        <w:pStyle w:val="NormalWeb"/>
        <w:numPr>
          <w:ilvl w:val="0"/>
          <w:numId w:val="39"/>
        </w:numPr>
        <w:contextualSpacing/>
      </w:pPr>
      <w:r>
        <w:t xml:space="preserve">Finalization of an Updated County Master Space Plan </w:t>
      </w:r>
    </w:p>
    <w:p w14:paraId="69F6E23D" w14:textId="77777777" w:rsidR="00D97105" w:rsidRDefault="00D97105" w:rsidP="00F91964">
      <w:pPr>
        <w:pStyle w:val="NormalWeb"/>
        <w:numPr>
          <w:ilvl w:val="0"/>
          <w:numId w:val="39"/>
        </w:numPr>
        <w:contextualSpacing/>
      </w:pPr>
      <w:r>
        <w:t>Disposition Plan for the City Campus Property</w:t>
      </w:r>
    </w:p>
    <w:p w14:paraId="69F6E23E" w14:textId="77777777" w:rsidR="00D97105" w:rsidRDefault="00D97105" w:rsidP="00F91964">
      <w:pPr>
        <w:pStyle w:val="NormalWeb"/>
        <w:numPr>
          <w:ilvl w:val="0"/>
          <w:numId w:val="39"/>
        </w:numPr>
        <w:contextualSpacing/>
      </w:pPr>
      <w:r>
        <w:t xml:space="preserve">Comprehensive Plan for County Grounds </w:t>
      </w:r>
    </w:p>
    <w:p w14:paraId="69F6E23F" w14:textId="77777777" w:rsidR="00D97105" w:rsidRDefault="00D97105" w:rsidP="00F91964">
      <w:pPr>
        <w:pStyle w:val="NormalWeb"/>
        <w:numPr>
          <w:ilvl w:val="0"/>
          <w:numId w:val="39"/>
        </w:numPr>
        <w:contextualSpacing/>
      </w:pPr>
      <w:r>
        <w:t xml:space="preserve">Courthouse Complex Plan </w:t>
      </w:r>
    </w:p>
    <w:p w14:paraId="69F6E240" w14:textId="77777777" w:rsidR="004D686B" w:rsidRDefault="00D97105" w:rsidP="00F91964">
      <w:pPr>
        <w:pStyle w:val="NormalWeb"/>
        <w:numPr>
          <w:ilvl w:val="0"/>
          <w:numId w:val="39"/>
        </w:numPr>
        <w:contextualSpacing/>
      </w:pPr>
      <w:r>
        <w:t xml:space="preserve">Facility Management Consolidation </w:t>
      </w:r>
    </w:p>
    <w:p w14:paraId="69F6E241" w14:textId="77777777" w:rsidR="004D686B" w:rsidRDefault="004D686B" w:rsidP="00D97105">
      <w:pPr>
        <w:pStyle w:val="NormalWeb"/>
        <w:contextualSpacing/>
      </w:pPr>
    </w:p>
    <w:p w14:paraId="69F6E243" w14:textId="669145CE" w:rsidR="00D97105" w:rsidRDefault="00D97105" w:rsidP="00D97105">
      <w:pPr>
        <w:pStyle w:val="NormalWeb"/>
        <w:spacing w:before="0" w:beforeAutospacing="0" w:after="0" w:afterAutospacing="0"/>
      </w:pPr>
      <w:r>
        <w:t xml:space="preserve">This </w:t>
      </w:r>
      <w:r w:rsidR="0027748C">
        <w:t>informational</w:t>
      </w:r>
      <w:r>
        <w:t xml:space="preserve"> report is within the scope of the County Board approved 2014 resolution and is meant to provi</w:t>
      </w:r>
      <w:r w:rsidR="0027748C">
        <w:t>de an update to the committee</w:t>
      </w:r>
      <w:r>
        <w:t>.</w:t>
      </w:r>
    </w:p>
    <w:p w14:paraId="76970735" w14:textId="77777777" w:rsidR="00E54832" w:rsidRDefault="00E54832" w:rsidP="00D97105">
      <w:pPr>
        <w:pStyle w:val="NormalWeb"/>
        <w:spacing w:before="0" w:beforeAutospacing="0" w:after="0" w:afterAutospacing="0"/>
      </w:pPr>
    </w:p>
    <w:p w14:paraId="1AFC854D" w14:textId="39861DC2" w:rsidR="00E54832" w:rsidRDefault="00E54832" w:rsidP="00D97105">
      <w:pPr>
        <w:pStyle w:val="NormalWeb"/>
        <w:spacing w:before="0" w:beforeAutospacing="0" w:after="0" w:afterAutospacing="0"/>
      </w:pPr>
      <w:r>
        <w:t>Three deliverables are considered complete (1, 2, and 4)</w:t>
      </w:r>
      <w:r w:rsidR="003F47CF">
        <w:t xml:space="preserve">. Deliverables 3, 5, and 6 are expected to be complete in 2016 and deliverable </w:t>
      </w:r>
      <w:r>
        <w:t xml:space="preserve">7 </w:t>
      </w:r>
      <w:r w:rsidR="003F47CF">
        <w:t>is a sustaining initiative that will always drive Facilities Management Division in its processes and procedures.</w:t>
      </w:r>
    </w:p>
    <w:p w14:paraId="69F6E244" w14:textId="77777777" w:rsidR="00944D3C" w:rsidRDefault="00944D3C">
      <w:pPr>
        <w:pStyle w:val="Heading2"/>
        <w:jc w:val="both"/>
        <w:rPr>
          <w:rFonts w:cs="Times New Roman"/>
        </w:rPr>
      </w:pPr>
      <w:r>
        <w:rPr>
          <w:rFonts w:cs="Times New Roman"/>
        </w:rPr>
        <w:t xml:space="preserve">     </w:t>
      </w:r>
    </w:p>
    <w:p w14:paraId="69F6E245" w14:textId="77777777" w:rsidR="00944D3C" w:rsidRDefault="00944D3C">
      <w:pPr>
        <w:pStyle w:val="Header"/>
        <w:tabs>
          <w:tab w:val="clear" w:pos="4320"/>
          <w:tab w:val="clear" w:pos="8640"/>
        </w:tabs>
        <w:rPr>
          <w:b/>
          <w:bCs/>
        </w:rPr>
      </w:pPr>
      <w:r>
        <w:rPr>
          <w:b/>
          <w:bCs/>
        </w:rPr>
        <w:t xml:space="preserve">UPDATE ON PHASE </w:t>
      </w:r>
      <w:r w:rsidR="00D97105">
        <w:rPr>
          <w:b/>
          <w:bCs/>
        </w:rPr>
        <w:t>2</w:t>
      </w:r>
      <w:r>
        <w:rPr>
          <w:b/>
          <w:bCs/>
        </w:rPr>
        <w:t xml:space="preserve"> OF THE CFP</w:t>
      </w:r>
    </w:p>
    <w:p w14:paraId="69F6E246" w14:textId="77777777" w:rsidR="00944D3C" w:rsidRDefault="00944D3C">
      <w:pPr>
        <w:pStyle w:val="Heading2"/>
        <w:jc w:val="both"/>
        <w:rPr>
          <w:rFonts w:cs="Times New Roman"/>
          <w:b w:val="0"/>
          <w:bCs w:val="0"/>
        </w:rPr>
      </w:pPr>
    </w:p>
    <w:p w14:paraId="69F6E247" w14:textId="77777777" w:rsidR="00944D3C" w:rsidRDefault="00944D3C">
      <w:pPr>
        <w:rPr>
          <w:rFonts w:cs="Times New Roman"/>
          <w:b/>
          <w:bCs/>
        </w:rPr>
      </w:pPr>
      <w:r>
        <w:rPr>
          <w:rFonts w:cs="Times New Roman"/>
          <w:b/>
          <w:bCs/>
        </w:rPr>
        <w:t>Deliverable # 1 – Detailed Space Program and Relocation Strategy for City Campus</w:t>
      </w:r>
    </w:p>
    <w:p w14:paraId="54D541CF" w14:textId="77777777" w:rsidR="00335D5B" w:rsidRDefault="0005548D" w:rsidP="006A77E9">
      <w:pPr>
        <w:pStyle w:val="ListParagraph"/>
        <w:numPr>
          <w:ilvl w:val="0"/>
          <w:numId w:val="32"/>
        </w:numPr>
      </w:pPr>
      <w:r>
        <w:t>The relocation out of City Campus of all County employees and services is complete.</w:t>
      </w:r>
      <w:r w:rsidR="00335D5B">
        <w:t xml:space="preserve"> </w:t>
      </w:r>
    </w:p>
    <w:p w14:paraId="0FE30BD7" w14:textId="77777777" w:rsidR="00B70BD7" w:rsidRDefault="00B70BD7">
      <w:pPr>
        <w:rPr>
          <w:rFonts w:cs="Times New Roman"/>
          <w:b/>
          <w:bCs/>
        </w:rPr>
      </w:pPr>
    </w:p>
    <w:p w14:paraId="69F6E24A" w14:textId="77777777" w:rsidR="00944D3C" w:rsidRDefault="00944D3C">
      <w:pPr>
        <w:rPr>
          <w:rFonts w:cs="Times New Roman"/>
          <w:b/>
          <w:bCs/>
          <w:i/>
          <w:iCs/>
        </w:rPr>
      </w:pPr>
      <w:r>
        <w:rPr>
          <w:rFonts w:cs="Times New Roman"/>
          <w:b/>
          <w:bCs/>
        </w:rPr>
        <w:t xml:space="preserve">Deliverable #2 – Agreement with the State for Marcia Coggs Center </w:t>
      </w:r>
    </w:p>
    <w:p w14:paraId="69F6E24B" w14:textId="037331B4" w:rsidR="00944D3C" w:rsidRPr="007832FA" w:rsidRDefault="00944D3C">
      <w:pPr>
        <w:pStyle w:val="ListParagraph"/>
        <w:numPr>
          <w:ilvl w:val="0"/>
          <w:numId w:val="25"/>
        </w:numPr>
        <w:rPr>
          <w:b/>
          <w:bCs/>
        </w:rPr>
      </w:pPr>
      <w:r>
        <w:t xml:space="preserve">The </w:t>
      </w:r>
      <w:r w:rsidR="006F5ED3">
        <w:t>State</w:t>
      </w:r>
      <w:r w:rsidR="003F47CF">
        <w:t>/County</w:t>
      </w:r>
      <w:r w:rsidR="006F5ED3">
        <w:t xml:space="preserve"> space lease, </w:t>
      </w:r>
      <w:r w:rsidR="003365AA">
        <w:t>approved by the</w:t>
      </w:r>
      <w:r>
        <w:t xml:space="preserve"> County Board </w:t>
      </w:r>
      <w:r w:rsidR="003365AA">
        <w:t xml:space="preserve">in the </w:t>
      </w:r>
      <w:r>
        <w:t xml:space="preserve">November </w:t>
      </w:r>
      <w:r w:rsidR="006F5ED3">
        <w:t xml:space="preserve">2014 </w:t>
      </w:r>
      <w:r>
        <w:t>cycle</w:t>
      </w:r>
      <w:r w:rsidR="006F5ED3">
        <w:t>,</w:t>
      </w:r>
      <w:r w:rsidR="003365AA">
        <w:t xml:space="preserve"> </w:t>
      </w:r>
      <w:r w:rsidR="00AA6637">
        <w:t>was executed by the State in February of 2015.</w:t>
      </w:r>
    </w:p>
    <w:p w14:paraId="69F6E24C" w14:textId="77777777" w:rsidR="00944D3C" w:rsidRDefault="00944D3C">
      <w:pPr>
        <w:rPr>
          <w:rFonts w:cs="Times New Roman"/>
          <w:b/>
          <w:bCs/>
        </w:rPr>
      </w:pPr>
    </w:p>
    <w:p w14:paraId="69F6E24D" w14:textId="48734A77" w:rsidR="00944D3C" w:rsidRPr="00F91964" w:rsidRDefault="5DB29E3B">
      <w:pPr>
        <w:rPr>
          <w:rFonts w:cs="Times New Roman"/>
          <w:b/>
          <w:bCs/>
        </w:rPr>
      </w:pPr>
      <w:r w:rsidRPr="5DB29E3B">
        <w:rPr>
          <w:rFonts w:eastAsia="Times New Roman" w:cs="Times New Roman"/>
          <w:b/>
          <w:bCs/>
        </w:rPr>
        <w:t xml:space="preserve">Deliverable #3 – County Master Space Plan </w:t>
      </w:r>
    </w:p>
    <w:p w14:paraId="7A173F9E" w14:textId="753AE6BC" w:rsidR="009A21C3" w:rsidRPr="009A21C3" w:rsidRDefault="00335D5B" w:rsidP="009A21C3">
      <w:pPr>
        <w:pStyle w:val="ListParagraph"/>
        <w:numPr>
          <w:ilvl w:val="0"/>
          <w:numId w:val="26"/>
        </w:numPr>
        <w:rPr>
          <w:bCs/>
          <w:i/>
        </w:rPr>
      </w:pPr>
      <w:r>
        <w:rPr>
          <w:bCs/>
        </w:rPr>
        <w:t xml:space="preserve">A summary of </w:t>
      </w:r>
      <w:r w:rsidR="006F5ED3">
        <w:rPr>
          <w:bCs/>
        </w:rPr>
        <w:t xml:space="preserve">the </w:t>
      </w:r>
      <w:r>
        <w:rPr>
          <w:bCs/>
        </w:rPr>
        <w:t>Master Space Plan effort is presented here:</w:t>
      </w:r>
    </w:p>
    <w:p w14:paraId="5995C1F5" w14:textId="77777777" w:rsidR="009B74BC" w:rsidRPr="009B74BC" w:rsidRDefault="009B74BC" w:rsidP="009B74BC">
      <w:pPr>
        <w:pStyle w:val="ListParagraph"/>
        <w:ind w:left="1080"/>
        <w:rPr>
          <w:bCs/>
          <w:i/>
        </w:rPr>
      </w:pPr>
    </w:p>
    <w:p w14:paraId="3E47571A" w14:textId="77777777" w:rsidR="009A21C3" w:rsidRPr="009A21C3" w:rsidRDefault="00335D5B" w:rsidP="009A21C3">
      <w:pPr>
        <w:pStyle w:val="ListParagraph"/>
        <w:numPr>
          <w:ilvl w:val="1"/>
          <w:numId w:val="26"/>
        </w:numPr>
        <w:rPr>
          <w:bCs/>
          <w:i/>
        </w:rPr>
      </w:pPr>
      <w:r w:rsidRPr="009A21C3">
        <w:rPr>
          <w:bCs/>
          <w:u w:val="single"/>
        </w:rPr>
        <w:t>CFP 1.0:</w:t>
      </w:r>
      <w:r w:rsidRPr="009A21C3">
        <w:rPr>
          <w:bCs/>
        </w:rPr>
        <w:t xml:space="preserve"> </w:t>
      </w:r>
      <w:r w:rsidR="00B65618" w:rsidRPr="009A21C3">
        <w:rPr>
          <w:bCs/>
        </w:rPr>
        <w:t xml:space="preserve">The </w:t>
      </w:r>
      <w:r w:rsidR="00762CAA" w:rsidRPr="009A21C3">
        <w:rPr>
          <w:bCs/>
        </w:rPr>
        <w:t>County Master Space Plan</w:t>
      </w:r>
      <w:r w:rsidRPr="009A21C3">
        <w:rPr>
          <w:bCs/>
        </w:rPr>
        <w:t xml:space="preserve"> (CBRE Comprehensive Facilities Plan)</w:t>
      </w:r>
      <w:r w:rsidR="00762CAA" w:rsidRPr="009A21C3">
        <w:rPr>
          <w:bCs/>
        </w:rPr>
        <w:t xml:space="preserve"> published in 2013 is being utilized as the</w:t>
      </w:r>
      <w:r w:rsidRPr="009A21C3">
        <w:rPr>
          <w:bCs/>
        </w:rPr>
        <w:t xml:space="preserve"> baseline for current CFP efforts. </w:t>
      </w:r>
    </w:p>
    <w:p w14:paraId="0C30C157" w14:textId="77777777" w:rsidR="009B74BC" w:rsidRPr="009B74BC" w:rsidRDefault="009B74BC" w:rsidP="009B74BC">
      <w:pPr>
        <w:rPr>
          <w:bCs/>
        </w:rPr>
      </w:pPr>
    </w:p>
    <w:p w14:paraId="5ED0DD59" w14:textId="77777777" w:rsidR="009B74BC" w:rsidRPr="009B74BC" w:rsidRDefault="00335D5B" w:rsidP="009A21C3">
      <w:pPr>
        <w:pStyle w:val="ListParagraph"/>
        <w:numPr>
          <w:ilvl w:val="1"/>
          <w:numId w:val="26"/>
        </w:numPr>
        <w:rPr>
          <w:bCs/>
          <w:i/>
        </w:rPr>
      </w:pPr>
      <w:r w:rsidRPr="009A21C3">
        <w:rPr>
          <w:bCs/>
          <w:u w:val="single"/>
        </w:rPr>
        <w:t>CFP 2.0:</w:t>
      </w:r>
      <w:r w:rsidRPr="009A21C3">
        <w:rPr>
          <w:bCs/>
        </w:rPr>
        <w:t xml:space="preserve"> The updated Space Plan and options presented in December 2014 frames the CFP’s current actions and framework for future efforts.</w:t>
      </w:r>
    </w:p>
    <w:p w14:paraId="68FD2FB0" w14:textId="0DC879EC" w:rsidR="009A21C3" w:rsidRPr="009B74BC" w:rsidRDefault="00335D5B" w:rsidP="009B74BC">
      <w:pPr>
        <w:rPr>
          <w:bCs/>
          <w:i/>
        </w:rPr>
      </w:pPr>
      <w:r w:rsidRPr="009B74BC">
        <w:rPr>
          <w:bCs/>
          <w:u w:val="single"/>
        </w:rPr>
        <w:t xml:space="preserve"> </w:t>
      </w:r>
    </w:p>
    <w:p w14:paraId="78B00955" w14:textId="42A2AA84" w:rsidR="009A21C3" w:rsidRPr="009B74BC" w:rsidRDefault="00335D5B" w:rsidP="009A21C3">
      <w:pPr>
        <w:pStyle w:val="ListParagraph"/>
        <w:numPr>
          <w:ilvl w:val="1"/>
          <w:numId w:val="26"/>
        </w:numPr>
        <w:rPr>
          <w:bCs/>
          <w:i/>
        </w:rPr>
      </w:pPr>
      <w:r w:rsidRPr="009A21C3">
        <w:rPr>
          <w:bCs/>
          <w:u w:val="single"/>
        </w:rPr>
        <w:t>CFP 3.0:</w:t>
      </w:r>
      <w:r w:rsidRPr="009A21C3">
        <w:rPr>
          <w:bCs/>
        </w:rPr>
        <w:t xml:space="preserve"> The Courthouse Complex Plan is discussed in detail in the Phase 3 update. When complete, the process to update the Space Plan and further develop the County’s direction will be developed in CFP 4.0.</w:t>
      </w:r>
    </w:p>
    <w:p w14:paraId="14ACC232" w14:textId="77777777" w:rsidR="009B74BC" w:rsidRPr="009B74BC" w:rsidRDefault="009B74BC" w:rsidP="009B74BC">
      <w:pPr>
        <w:pStyle w:val="ListParagraph"/>
        <w:ind w:left="1080"/>
        <w:rPr>
          <w:bCs/>
          <w:i/>
        </w:rPr>
      </w:pPr>
    </w:p>
    <w:p w14:paraId="3C4CC857" w14:textId="483EB974" w:rsidR="009B74BC" w:rsidRPr="009B74BC" w:rsidRDefault="009B74BC" w:rsidP="009A21C3">
      <w:pPr>
        <w:pStyle w:val="ListParagraph"/>
        <w:numPr>
          <w:ilvl w:val="1"/>
          <w:numId w:val="26"/>
        </w:numPr>
        <w:rPr>
          <w:bCs/>
          <w:i/>
        </w:rPr>
      </w:pPr>
      <w:r>
        <w:rPr>
          <w:bCs/>
          <w:u w:val="single"/>
        </w:rPr>
        <w:t>CFP 3.</w:t>
      </w:r>
      <w:r w:rsidRPr="009B74BC">
        <w:rPr>
          <w:bCs/>
          <w:u w:val="single"/>
        </w:rPr>
        <w:t>1</w:t>
      </w:r>
      <w:r w:rsidRPr="009B74BC">
        <w:rPr>
          <w:bCs/>
        </w:rPr>
        <w:t>: Effort to More Formally Establish CFP processes &amp; outcomes</w:t>
      </w:r>
    </w:p>
    <w:p w14:paraId="062900F2" w14:textId="77777777" w:rsidR="009B74BC" w:rsidRPr="008A28FE" w:rsidRDefault="009B74BC" w:rsidP="009B74BC">
      <w:pPr>
        <w:pStyle w:val="ListParagraph"/>
        <w:ind w:left="1800"/>
        <w:rPr>
          <w:bCs/>
        </w:rPr>
      </w:pPr>
    </w:p>
    <w:p w14:paraId="295D71F5" w14:textId="0951F43C" w:rsidR="009B74BC" w:rsidRPr="008A28FE" w:rsidRDefault="009B74BC" w:rsidP="009B74BC">
      <w:pPr>
        <w:pStyle w:val="ListParagraph"/>
        <w:numPr>
          <w:ilvl w:val="2"/>
          <w:numId w:val="26"/>
        </w:numPr>
        <w:rPr>
          <w:bCs/>
          <w:i/>
        </w:rPr>
      </w:pPr>
      <w:r w:rsidRPr="009B74BC">
        <w:rPr>
          <w:bCs/>
        </w:rPr>
        <w:t xml:space="preserve">Complete </w:t>
      </w:r>
      <w:r w:rsidR="003F47CF">
        <w:rPr>
          <w:bCs/>
        </w:rPr>
        <w:t>s</w:t>
      </w:r>
      <w:r w:rsidRPr="009B74BC">
        <w:rPr>
          <w:bCs/>
        </w:rPr>
        <w:t>teering</w:t>
      </w:r>
      <w:r>
        <w:rPr>
          <w:bCs/>
        </w:rPr>
        <w:t xml:space="preserve"> </w:t>
      </w:r>
      <w:r w:rsidR="003F47CF">
        <w:rPr>
          <w:bCs/>
        </w:rPr>
        <w:t>c</w:t>
      </w:r>
      <w:r>
        <w:rPr>
          <w:bCs/>
        </w:rPr>
        <w:t xml:space="preserve">ommittee </w:t>
      </w:r>
      <w:r w:rsidR="003F47CF">
        <w:rPr>
          <w:bCs/>
        </w:rPr>
        <w:t>c</w:t>
      </w:r>
      <w:r>
        <w:rPr>
          <w:bCs/>
        </w:rPr>
        <w:t>harter outlining</w:t>
      </w:r>
      <w:r w:rsidRPr="009B74BC">
        <w:rPr>
          <w:bCs/>
        </w:rPr>
        <w:t xml:space="preserve"> roles &amp;</w:t>
      </w:r>
      <w:r>
        <w:rPr>
          <w:bCs/>
        </w:rPr>
        <w:t xml:space="preserve"> responsibilities of membership. (Deliverable)</w:t>
      </w:r>
    </w:p>
    <w:p w14:paraId="5DDBB2AC" w14:textId="45D81A35" w:rsidR="008A28FE" w:rsidRPr="009B74BC" w:rsidRDefault="008A28FE" w:rsidP="009B74BC">
      <w:pPr>
        <w:pStyle w:val="ListParagraph"/>
        <w:numPr>
          <w:ilvl w:val="2"/>
          <w:numId w:val="26"/>
        </w:numPr>
        <w:rPr>
          <w:bCs/>
          <w:i/>
        </w:rPr>
      </w:pPr>
      <w:r>
        <w:rPr>
          <w:bCs/>
        </w:rPr>
        <w:t>Distribute first annual building reports to Departments that maintain County assets.</w:t>
      </w:r>
    </w:p>
    <w:p w14:paraId="2D9DCB1A" w14:textId="05677249" w:rsidR="009B74BC" w:rsidRPr="009B74BC" w:rsidRDefault="009B74BC" w:rsidP="009B74BC">
      <w:pPr>
        <w:pStyle w:val="ListParagraph"/>
        <w:numPr>
          <w:ilvl w:val="2"/>
          <w:numId w:val="26"/>
        </w:numPr>
        <w:rPr>
          <w:bCs/>
          <w:i/>
        </w:rPr>
      </w:pPr>
      <w:r>
        <w:rPr>
          <w:bCs/>
        </w:rPr>
        <w:t xml:space="preserve">City Campus </w:t>
      </w:r>
      <w:r w:rsidR="003F47CF">
        <w:rPr>
          <w:bCs/>
        </w:rPr>
        <w:t>o</w:t>
      </w:r>
      <w:r>
        <w:rPr>
          <w:bCs/>
        </w:rPr>
        <w:t xml:space="preserve">utcome </w:t>
      </w:r>
      <w:r w:rsidR="003F47CF">
        <w:rPr>
          <w:bCs/>
        </w:rPr>
        <w:t>a</w:t>
      </w:r>
      <w:r>
        <w:rPr>
          <w:bCs/>
        </w:rPr>
        <w:t>nalysis</w:t>
      </w:r>
    </w:p>
    <w:p w14:paraId="1985810F" w14:textId="08BA61B2" w:rsidR="009B74BC" w:rsidRPr="009B74BC" w:rsidRDefault="003F47CF" w:rsidP="009B74BC">
      <w:pPr>
        <w:pStyle w:val="ListParagraph"/>
        <w:numPr>
          <w:ilvl w:val="3"/>
          <w:numId w:val="26"/>
        </w:numPr>
        <w:rPr>
          <w:bCs/>
          <w:i/>
        </w:rPr>
      </w:pPr>
      <w:r>
        <w:rPr>
          <w:bCs/>
        </w:rPr>
        <w:t>Post-c</w:t>
      </w:r>
      <w:r w:rsidR="009B74BC">
        <w:rPr>
          <w:bCs/>
        </w:rPr>
        <w:t xml:space="preserve">losing City Campus </w:t>
      </w:r>
      <w:r>
        <w:rPr>
          <w:bCs/>
        </w:rPr>
        <w:t>f</w:t>
      </w:r>
      <w:r w:rsidR="009B74BC">
        <w:rPr>
          <w:bCs/>
        </w:rPr>
        <w:t xml:space="preserve">iscal </w:t>
      </w:r>
      <w:r>
        <w:rPr>
          <w:bCs/>
        </w:rPr>
        <w:t>a</w:t>
      </w:r>
      <w:r w:rsidR="009B74BC">
        <w:rPr>
          <w:bCs/>
        </w:rPr>
        <w:t>nalysis (Deliverable).</w:t>
      </w:r>
    </w:p>
    <w:p w14:paraId="5C152620" w14:textId="3CA70259" w:rsidR="009B74BC" w:rsidRPr="009B74BC" w:rsidRDefault="009B74BC" w:rsidP="009B74BC">
      <w:pPr>
        <w:pStyle w:val="ListParagraph"/>
        <w:numPr>
          <w:ilvl w:val="3"/>
          <w:numId w:val="26"/>
        </w:numPr>
        <w:rPr>
          <w:bCs/>
          <w:i/>
        </w:rPr>
      </w:pPr>
      <w:r>
        <w:rPr>
          <w:bCs/>
        </w:rPr>
        <w:t xml:space="preserve">Survey </w:t>
      </w:r>
      <w:r w:rsidR="008A28FE">
        <w:rPr>
          <w:bCs/>
        </w:rPr>
        <w:t>r</w:t>
      </w:r>
      <w:r>
        <w:rPr>
          <w:bCs/>
        </w:rPr>
        <w:t xml:space="preserve">elocated </w:t>
      </w:r>
      <w:r w:rsidR="008A28FE">
        <w:rPr>
          <w:bCs/>
        </w:rPr>
        <w:t>s</w:t>
      </w:r>
      <w:r>
        <w:rPr>
          <w:bCs/>
        </w:rPr>
        <w:t xml:space="preserve">taff and </w:t>
      </w:r>
      <w:r w:rsidR="008A28FE">
        <w:rPr>
          <w:bCs/>
        </w:rPr>
        <w:t>p</w:t>
      </w:r>
      <w:r>
        <w:rPr>
          <w:bCs/>
        </w:rPr>
        <w:t xml:space="preserve">rovide </w:t>
      </w:r>
      <w:r w:rsidR="008A28FE">
        <w:rPr>
          <w:bCs/>
        </w:rPr>
        <w:t>r</w:t>
      </w:r>
      <w:r>
        <w:rPr>
          <w:bCs/>
        </w:rPr>
        <w:t>esults (Deliverable).</w:t>
      </w:r>
    </w:p>
    <w:p w14:paraId="5DEB832D" w14:textId="524C6881" w:rsidR="009B74BC" w:rsidRPr="009B74BC" w:rsidRDefault="009B74BC" w:rsidP="009B74BC">
      <w:pPr>
        <w:pStyle w:val="ListParagraph"/>
        <w:numPr>
          <w:ilvl w:val="2"/>
          <w:numId w:val="26"/>
        </w:numPr>
        <w:rPr>
          <w:bCs/>
          <w:i/>
        </w:rPr>
      </w:pPr>
      <w:r>
        <w:rPr>
          <w:bCs/>
        </w:rPr>
        <w:t>Update Coggs</w:t>
      </w:r>
      <w:r w:rsidR="003F47CF">
        <w:rPr>
          <w:bCs/>
        </w:rPr>
        <w:t xml:space="preserve"> facility</w:t>
      </w:r>
      <w:r>
        <w:rPr>
          <w:bCs/>
        </w:rPr>
        <w:t xml:space="preserve"> </w:t>
      </w:r>
      <w:r w:rsidR="003F47CF">
        <w:rPr>
          <w:bCs/>
        </w:rPr>
        <w:t>s</w:t>
      </w:r>
      <w:r>
        <w:rPr>
          <w:bCs/>
        </w:rPr>
        <w:t xml:space="preserve">tatus and </w:t>
      </w:r>
      <w:r w:rsidR="003F47CF">
        <w:rPr>
          <w:bCs/>
        </w:rPr>
        <w:t>p</w:t>
      </w:r>
      <w:r>
        <w:rPr>
          <w:bCs/>
        </w:rPr>
        <w:t xml:space="preserve">rovide </w:t>
      </w:r>
      <w:r w:rsidR="003F47CF">
        <w:rPr>
          <w:bCs/>
        </w:rPr>
        <w:t>m</w:t>
      </w:r>
      <w:r>
        <w:rPr>
          <w:bCs/>
        </w:rPr>
        <w:t xml:space="preserve">arket </w:t>
      </w:r>
      <w:r w:rsidR="003F47CF">
        <w:rPr>
          <w:bCs/>
        </w:rPr>
        <w:t>a</w:t>
      </w:r>
      <w:r>
        <w:rPr>
          <w:bCs/>
        </w:rPr>
        <w:t>nalysis</w:t>
      </w:r>
    </w:p>
    <w:p w14:paraId="2F144332" w14:textId="1B974DAE" w:rsidR="009B74BC" w:rsidRPr="009B74BC" w:rsidRDefault="009B74BC" w:rsidP="009B74BC">
      <w:pPr>
        <w:pStyle w:val="ListParagraph"/>
        <w:numPr>
          <w:ilvl w:val="3"/>
          <w:numId w:val="26"/>
        </w:numPr>
        <w:rPr>
          <w:bCs/>
          <w:i/>
        </w:rPr>
      </w:pPr>
      <w:r>
        <w:rPr>
          <w:bCs/>
        </w:rPr>
        <w:t>Is State lease a recommended short-term or long-term solution?</w:t>
      </w:r>
    </w:p>
    <w:p w14:paraId="5BC47A5E" w14:textId="5E0D0B0F" w:rsidR="009B74BC" w:rsidRPr="009B74BC" w:rsidRDefault="009B74BC" w:rsidP="009B74BC">
      <w:pPr>
        <w:pStyle w:val="ListParagraph"/>
        <w:numPr>
          <w:ilvl w:val="3"/>
          <w:numId w:val="26"/>
        </w:numPr>
        <w:rPr>
          <w:bCs/>
          <w:i/>
        </w:rPr>
      </w:pPr>
      <w:r>
        <w:rPr>
          <w:bCs/>
        </w:rPr>
        <w:t xml:space="preserve">Develop </w:t>
      </w:r>
      <w:r w:rsidR="003F47CF">
        <w:rPr>
          <w:bCs/>
        </w:rPr>
        <w:t>p</w:t>
      </w:r>
      <w:r>
        <w:rPr>
          <w:bCs/>
        </w:rPr>
        <w:t>otential</w:t>
      </w:r>
      <w:r w:rsidR="003F47CF">
        <w:rPr>
          <w:bCs/>
        </w:rPr>
        <w:t xml:space="preserve"> long-term</w:t>
      </w:r>
      <w:r>
        <w:rPr>
          <w:bCs/>
        </w:rPr>
        <w:t xml:space="preserve"> </w:t>
      </w:r>
      <w:r w:rsidR="003F47CF">
        <w:rPr>
          <w:bCs/>
        </w:rPr>
        <w:t>o</w:t>
      </w:r>
      <w:r>
        <w:rPr>
          <w:bCs/>
        </w:rPr>
        <w:t>ptions for Coggs (Deliverable).</w:t>
      </w:r>
    </w:p>
    <w:p w14:paraId="7FE9462C" w14:textId="77777777" w:rsidR="009B74BC" w:rsidRPr="009B74BC" w:rsidRDefault="009B74BC" w:rsidP="009B74BC">
      <w:pPr>
        <w:rPr>
          <w:bCs/>
        </w:rPr>
      </w:pPr>
    </w:p>
    <w:p w14:paraId="2C11F866" w14:textId="17AE3CF4" w:rsidR="00335D5B" w:rsidRPr="009A21C3" w:rsidRDefault="00335D5B" w:rsidP="009A21C3">
      <w:pPr>
        <w:pStyle w:val="ListParagraph"/>
        <w:numPr>
          <w:ilvl w:val="1"/>
          <w:numId w:val="26"/>
        </w:numPr>
        <w:rPr>
          <w:bCs/>
          <w:i/>
        </w:rPr>
      </w:pPr>
      <w:r w:rsidRPr="009A21C3">
        <w:rPr>
          <w:bCs/>
          <w:u w:val="single"/>
        </w:rPr>
        <w:t>CFP 4.</w:t>
      </w:r>
      <w:r w:rsidRPr="009B74BC">
        <w:rPr>
          <w:bCs/>
          <w:u w:val="single"/>
        </w:rPr>
        <w:t>0</w:t>
      </w:r>
      <w:r w:rsidRPr="009A21C3">
        <w:rPr>
          <w:bCs/>
        </w:rPr>
        <w:t>: Detailed scope</w:t>
      </w:r>
      <w:r w:rsidR="009B74BC">
        <w:rPr>
          <w:bCs/>
        </w:rPr>
        <w:t xml:space="preserve"> and acquisition tool</w:t>
      </w:r>
      <w:r w:rsidR="004A7C2A">
        <w:rPr>
          <w:bCs/>
        </w:rPr>
        <w:t xml:space="preserve"> are</w:t>
      </w:r>
      <w:r w:rsidRPr="009A21C3">
        <w:rPr>
          <w:bCs/>
        </w:rPr>
        <w:t xml:space="preserve"> </w:t>
      </w:r>
      <w:r w:rsidR="009B74BC">
        <w:rPr>
          <w:bCs/>
        </w:rPr>
        <w:t>being reviewed</w:t>
      </w:r>
      <w:r w:rsidR="00A42095" w:rsidRPr="009A21C3">
        <w:rPr>
          <w:bCs/>
        </w:rPr>
        <w:t xml:space="preserve">. Key elements that will likely </w:t>
      </w:r>
      <w:r w:rsidR="004A7C2A">
        <w:rPr>
          <w:bCs/>
        </w:rPr>
        <w:t xml:space="preserve">be </w:t>
      </w:r>
      <w:r w:rsidR="00A42095" w:rsidRPr="009A21C3">
        <w:rPr>
          <w:bCs/>
        </w:rPr>
        <w:t>included in the plan are:</w:t>
      </w:r>
    </w:p>
    <w:p w14:paraId="6E15E8ED" w14:textId="77777777" w:rsidR="009B74BC" w:rsidRDefault="009B74BC" w:rsidP="009B74BC">
      <w:pPr>
        <w:pStyle w:val="ListParagraph"/>
        <w:ind w:left="1800"/>
        <w:rPr>
          <w:bCs/>
        </w:rPr>
      </w:pPr>
    </w:p>
    <w:p w14:paraId="23082FCE" w14:textId="40854717" w:rsidR="004A7C2A" w:rsidRPr="008A28FE" w:rsidRDefault="004A7C2A" w:rsidP="008A28FE">
      <w:pPr>
        <w:pStyle w:val="ListParagraph"/>
        <w:numPr>
          <w:ilvl w:val="2"/>
          <w:numId w:val="26"/>
        </w:numPr>
        <w:rPr>
          <w:bCs/>
        </w:rPr>
      </w:pPr>
      <w:r>
        <w:rPr>
          <w:bCs/>
        </w:rPr>
        <w:lastRenderedPageBreak/>
        <w:t xml:space="preserve">Overarching </w:t>
      </w:r>
      <w:r w:rsidR="003F47CF">
        <w:rPr>
          <w:bCs/>
        </w:rPr>
        <w:t>g</w:t>
      </w:r>
      <w:r>
        <w:rPr>
          <w:bCs/>
        </w:rPr>
        <w:t xml:space="preserve">oal to </w:t>
      </w:r>
      <w:r w:rsidR="003F47CF">
        <w:rPr>
          <w:bCs/>
        </w:rPr>
        <w:t>p</w:t>
      </w:r>
      <w:r>
        <w:rPr>
          <w:bCs/>
        </w:rPr>
        <w:t xml:space="preserve">roduce </w:t>
      </w:r>
      <w:r w:rsidR="003F47CF">
        <w:rPr>
          <w:bCs/>
        </w:rPr>
        <w:t>s</w:t>
      </w:r>
      <w:r>
        <w:rPr>
          <w:bCs/>
        </w:rPr>
        <w:t xml:space="preserve">ustainable </w:t>
      </w:r>
      <w:r w:rsidR="003F47CF">
        <w:rPr>
          <w:bCs/>
        </w:rPr>
        <w:t>s</w:t>
      </w:r>
      <w:r>
        <w:rPr>
          <w:bCs/>
        </w:rPr>
        <w:t xml:space="preserve">pace </w:t>
      </w:r>
      <w:r w:rsidR="003F47CF">
        <w:rPr>
          <w:bCs/>
        </w:rPr>
        <w:t>p</w:t>
      </w:r>
      <w:r>
        <w:rPr>
          <w:bCs/>
        </w:rPr>
        <w:t xml:space="preserve">lan for FMD and </w:t>
      </w:r>
      <w:r w:rsidR="003F47CF">
        <w:rPr>
          <w:bCs/>
        </w:rPr>
        <w:t>t</w:t>
      </w:r>
      <w:r>
        <w:rPr>
          <w:bCs/>
        </w:rPr>
        <w:t>enants</w:t>
      </w:r>
      <w:r w:rsidR="008A28FE">
        <w:rPr>
          <w:bCs/>
        </w:rPr>
        <w:t xml:space="preserve"> (i.e. n</w:t>
      </w:r>
      <w:r w:rsidRPr="008A28FE">
        <w:rPr>
          <w:bCs/>
        </w:rPr>
        <w:t>o more musical chairs and avoid ‘inward costs’</w:t>
      </w:r>
      <w:r w:rsidR="008A28FE">
        <w:rPr>
          <w:bCs/>
        </w:rPr>
        <w:t>)</w:t>
      </w:r>
    </w:p>
    <w:p w14:paraId="325E6F1F" w14:textId="54050BCE" w:rsidR="006F5ED3" w:rsidRDefault="006F5ED3" w:rsidP="006F5ED3">
      <w:pPr>
        <w:pStyle w:val="ListParagraph"/>
        <w:numPr>
          <w:ilvl w:val="2"/>
          <w:numId w:val="26"/>
        </w:numPr>
        <w:rPr>
          <w:bCs/>
        </w:rPr>
      </w:pPr>
      <w:r>
        <w:rPr>
          <w:bCs/>
        </w:rPr>
        <w:t>4.1: Core Campus Master Space Plan</w:t>
      </w:r>
    </w:p>
    <w:p w14:paraId="19DF9B88" w14:textId="267901E9" w:rsidR="006F5ED3" w:rsidRDefault="008A28FE" w:rsidP="006F5ED3">
      <w:pPr>
        <w:pStyle w:val="ListParagraph"/>
        <w:numPr>
          <w:ilvl w:val="3"/>
          <w:numId w:val="26"/>
        </w:numPr>
        <w:rPr>
          <w:bCs/>
        </w:rPr>
      </w:pPr>
      <w:r>
        <w:rPr>
          <w:bCs/>
        </w:rPr>
        <w:t>Incorporate C</w:t>
      </w:r>
      <w:r w:rsidR="006F5ED3">
        <w:rPr>
          <w:bCs/>
        </w:rPr>
        <w:t xml:space="preserve">ourthouse </w:t>
      </w:r>
      <w:r w:rsidR="009A130F">
        <w:rPr>
          <w:bCs/>
        </w:rPr>
        <w:t>m</w:t>
      </w:r>
      <w:r w:rsidR="006F5ED3">
        <w:rPr>
          <w:bCs/>
        </w:rPr>
        <w:t xml:space="preserve">aster </w:t>
      </w:r>
      <w:r w:rsidR="009A130F">
        <w:rPr>
          <w:bCs/>
        </w:rPr>
        <w:t>s</w:t>
      </w:r>
      <w:r w:rsidR="006F5ED3">
        <w:rPr>
          <w:bCs/>
        </w:rPr>
        <w:t xml:space="preserve">pace </w:t>
      </w:r>
      <w:r w:rsidR="009A130F">
        <w:rPr>
          <w:bCs/>
        </w:rPr>
        <w:t>p</w:t>
      </w:r>
      <w:r w:rsidR="006F5ED3">
        <w:rPr>
          <w:bCs/>
        </w:rPr>
        <w:t>lan (CFP 3.0)</w:t>
      </w:r>
    </w:p>
    <w:p w14:paraId="2C5C2BB8" w14:textId="2F4AF5A8" w:rsidR="006F5ED3" w:rsidRDefault="006F5ED3" w:rsidP="006F5ED3">
      <w:pPr>
        <w:pStyle w:val="ListParagraph"/>
        <w:numPr>
          <w:ilvl w:val="3"/>
          <w:numId w:val="26"/>
        </w:numPr>
        <w:rPr>
          <w:bCs/>
        </w:rPr>
      </w:pPr>
      <w:r>
        <w:rPr>
          <w:bCs/>
        </w:rPr>
        <w:t>Non-</w:t>
      </w:r>
      <w:r w:rsidR="009A130F">
        <w:rPr>
          <w:bCs/>
        </w:rPr>
        <w:t>c</w:t>
      </w:r>
      <w:r>
        <w:rPr>
          <w:bCs/>
        </w:rPr>
        <w:t xml:space="preserve">ourts </w:t>
      </w:r>
      <w:r w:rsidR="009A130F">
        <w:rPr>
          <w:bCs/>
        </w:rPr>
        <w:t>s</w:t>
      </w:r>
      <w:r>
        <w:rPr>
          <w:bCs/>
        </w:rPr>
        <w:t xml:space="preserve">pace </w:t>
      </w:r>
      <w:r w:rsidR="009A130F">
        <w:rPr>
          <w:bCs/>
        </w:rPr>
        <w:t>p</w:t>
      </w:r>
      <w:r>
        <w:rPr>
          <w:bCs/>
        </w:rPr>
        <w:t>lanning</w:t>
      </w:r>
    </w:p>
    <w:p w14:paraId="295FF8A0" w14:textId="692DA761" w:rsidR="004A7C2A" w:rsidRDefault="004A7C2A" w:rsidP="006F5ED3">
      <w:pPr>
        <w:pStyle w:val="ListParagraph"/>
        <w:numPr>
          <w:ilvl w:val="3"/>
          <w:numId w:val="26"/>
        </w:numPr>
        <w:rPr>
          <w:bCs/>
        </w:rPr>
      </w:pPr>
      <w:r>
        <w:rPr>
          <w:bCs/>
        </w:rPr>
        <w:t xml:space="preserve">Core </w:t>
      </w:r>
      <w:r w:rsidR="009A130F">
        <w:rPr>
          <w:bCs/>
        </w:rPr>
        <w:t>c</w:t>
      </w:r>
      <w:r>
        <w:rPr>
          <w:bCs/>
        </w:rPr>
        <w:t xml:space="preserve">ampus </w:t>
      </w:r>
      <w:r w:rsidR="009A130F">
        <w:rPr>
          <w:bCs/>
        </w:rPr>
        <w:t>o</w:t>
      </w:r>
      <w:r>
        <w:rPr>
          <w:bCs/>
        </w:rPr>
        <w:t>ptimization</w:t>
      </w:r>
    </w:p>
    <w:p w14:paraId="4E1B9040" w14:textId="2E74513C" w:rsidR="004A7C2A" w:rsidRDefault="004A7C2A" w:rsidP="006F5ED3">
      <w:pPr>
        <w:pStyle w:val="ListParagraph"/>
        <w:numPr>
          <w:ilvl w:val="4"/>
          <w:numId w:val="26"/>
        </w:numPr>
        <w:rPr>
          <w:bCs/>
        </w:rPr>
      </w:pPr>
      <w:r>
        <w:rPr>
          <w:bCs/>
        </w:rPr>
        <w:t>Safety Building, Criminal Justice Facility, Courthouse, Public Museum, Medical Examiner, Community Corrections Center (CCC)</w:t>
      </w:r>
      <w:r w:rsidR="006F5ED3">
        <w:rPr>
          <w:bCs/>
        </w:rPr>
        <w:t>, Leased Administrative Facility (Currently 633 W. Wisconsin Ave.), Coggs Building</w:t>
      </w:r>
    </w:p>
    <w:p w14:paraId="3040B395" w14:textId="5FA56A3C" w:rsidR="006F5ED3" w:rsidRPr="004A7C2A" w:rsidRDefault="006F5ED3" w:rsidP="006F5ED3">
      <w:pPr>
        <w:pStyle w:val="ListParagraph"/>
        <w:numPr>
          <w:ilvl w:val="3"/>
          <w:numId w:val="26"/>
        </w:numPr>
        <w:rPr>
          <w:bCs/>
        </w:rPr>
      </w:pPr>
      <w:r w:rsidRPr="004A7C2A">
        <w:rPr>
          <w:bCs/>
        </w:rPr>
        <w:t xml:space="preserve">Financial </w:t>
      </w:r>
      <w:r w:rsidR="009A130F">
        <w:rPr>
          <w:bCs/>
        </w:rPr>
        <w:t>a</w:t>
      </w:r>
      <w:r w:rsidRPr="004A7C2A">
        <w:rPr>
          <w:bCs/>
        </w:rPr>
        <w:t xml:space="preserve">nalysis and </w:t>
      </w:r>
      <w:r w:rsidR="009A130F">
        <w:rPr>
          <w:bCs/>
        </w:rPr>
        <w:t>r</w:t>
      </w:r>
      <w:r w:rsidRPr="004A7C2A">
        <w:rPr>
          <w:bCs/>
        </w:rPr>
        <w:t>ecommendations</w:t>
      </w:r>
    </w:p>
    <w:p w14:paraId="37B5E8CF" w14:textId="434FCC5F" w:rsidR="004A7C2A" w:rsidRPr="006F5ED3" w:rsidRDefault="006F5ED3" w:rsidP="006F5ED3">
      <w:pPr>
        <w:pStyle w:val="ListParagraph"/>
        <w:numPr>
          <w:ilvl w:val="3"/>
          <w:numId w:val="26"/>
        </w:numPr>
        <w:rPr>
          <w:bCs/>
        </w:rPr>
      </w:pPr>
      <w:r>
        <w:rPr>
          <w:bCs/>
        </w:rPr>
        <w:t xml:space="preserve">Initial </w:t>
      </w:r>
      <w:r w:rsidR="009A130F">
        <w:rPr>
          <w:bCs/>
        </w:rPr>
        <w:t>t</w:t>
      </w:r>
      <w:r>
        <w:rPr>
          <w:bCs/>
        </w:rPr>
        <w:t xml:space="preserve">ransition </w:t>
      </w:r>
      <w:r w:rsidR="009A130F">
        <w:rPr>
          <w:bCs/>
        </w:rPr>
        <w:t>p</w:t>
      </w:r>
      <w:r>
        <w:rPr>
          <w:bCs/>
        </w:rPr>
        <w:t>lanning</w:t>
      </w:r>
    </w:p>
    <w:p w14:paraId="5A94883D" w14:textId="66E6F5E9" w:rsidR="006F5ED3" w:rsidRDefault="006F5ED3" w:rsidP="00A42095">
      <w:pPr>
        <w:pStyle w:val="ListParagraph"/>
        <w:numPr>
          <w:ilvl w:val="2"/>
          <w:numId w:val="26"/>
        </w:numPr>
        <w:rPr>
          <w:bCs/>
        </w:rPr>
      </w:pPr>
      <w:r>
        <w:rPr>
          <w:bCs/>
        </w:rPr>
        <w:t xml:space="preserve">4.2: </w:t>
      </w:r>
      <w:r w:rsidR="009A130F">
        <w:rPr>
          <w:bCs/>
        </w:rPr>
        <w:t xml:space="preserve">Past </w:t>
      </w:r>
      <w:r>
        <w:rPr>
          <w:bCs/>
        </w:rPr>
        <w:t>Project Analysis</w:t>
      </w:r>
    </w:p>
    <w:p w14:paraId="31F8F200" w14:textId="4A7F3DEC" w:rsidR="006F5ED3" w:rsidRDefault="004A7C2A" w:rsidP="006F5ED3">
      <w:pPr>
        <w:pStyle w:val="ListParagraph"/>
        <w:numPr>
          <w:ilvl w:val="3"/>
          <w:numId w:val="26"/>
        </w:numPr>
        <w:rPr>
          <w:bCs/>
        </w:rPr>
      </w:pPr>
      <w:r>
        <w:rPr>
          <w:bCs/>
        </w:rPr>
        <w:t xml:space="preserve">Case &amp; </w:t>
      </w:r>
      <w:r w:rsidR="009A130F">
        <w:rPr>
          <w:bCs/>
        </w:rPr>
        <w:t>f</w:t>
      </w:r>
      <w:r>
        <w:rPr>
          <w:bCs/>
        </w:rPr>
        <w:t xml:space="preserve">iscal </w:t>
      </w:r>
      <w:r w:rsidR="009A130F">
        <w:rPr>
          <w:bCs/>
        </w:rPr>
        <w:t>a</w:t>
      </w:r>
      <w:r>
        <w:rPr>
          <w:bCs/>
        </w:rPr>
        <w:t xml:space="preserve">nalysis for </w:t>
      </w:r>
      <w:r w:rsidR="009A130F">
        <w:rPr>
          <w:bCs/>
        </w:rPr>
        <w:t>a</w:t>
      </w:r>
      <w:r>
        <w:rPr>
          <w:bCs/>
        </w:rPr>
        <w:t xml:space="preserve">ctions to </w:t>
      </w:r>
      <w:r w:rsidR="009A130F">
        <w:rPr>
          <w:bCs/>
        </w:rPr>
        <w:t>d</w:t>
      </w:r>
      <w:r>
        <w:rPr>
          <w:bCs/>
        </w:rPr>
        <w:t xml:space="preserve">ate </w:t>
      </w:r>
    </w:p>
    <w:p w14:paraId="4A067AE2" w14:textId="3668BB4C" w:rsidR="004A7C2A" w:rsidRDefault="004A7C2A" w:rsidP="006F5ED3">
      <w:pPr>
        <w:pStyle w:val="ListParagraph"/>
        <w:numPr>
          <w:ilvl w:val="4"/>
          <w:numId w:val="26"/>
        </w:numPr>
        <w:rPr>
          <w:bCs/>
        </w:rPr>
      </w:pPr>
      <w:r>
        <w:rPr>
          <w:bCs/>
        </w:rPr>
        <w:t>Day Hospital, Food Service, CCC, Technology Innovation Center)</w:t>
      </w:r>
    </w:p>
    <w:p w14:paraId="45DF23AF" w14:textId="3FEED5A0" w:rsidR="00A42095" w:rsidRDefault="006F5ED3" w:rsidP="006F5ED3">
      <w:pPr>
        <w:pStyle w:val="ListParagraph"/>
        <w:numPr>
          <w:ilvl w:val="3"/>
          <w:numId w:val="26"/>
        </w:numPr>
        <w:rPr>
          <w:bCs/>
        </w:rPr>
      </w:pPr>
      <w:r>
        <w:rPr>
          <w:bCs/>
        </w:rPr>
        <w:t xml:space="preserve">Client </w:t>
      </w:r>
      <w:r w:rsidR="009A130F">
        <w:rPr>
          <w:bCs/>
        </w:rPr>
        <w:t>s</w:t>
      </w:r>
      <w:r>
        <w:rPr>
          <w:bCs/>
        </w:rPr>
        <w:t xml:space="preserve">atisfaction </w:t>
      </w:r>
      <w:r w:rsidR="009A130F">
        <w:rPr>
          <w:bCs/>
        </w:rPr>
        <w:t>s</w:t>
      </w:r>
      <w:r>
        <w:rPr>
          <w:bCs/>
        </w:rPr>
        <w:t xml:space="preserve">urveys on CFP </w:t>
      </w:r>
      <w:r w:rsidR="009A130F">
        <w:rPr>
          <w:bCs/>
        </w:rPr>
        <w:t>p</w:t>
      </w:r>
      <w:r>
        <w:rPr>
          <w:bCs/>
        </w:rPr>
        <w:t>rocess</w:t>
      </w:r>
    </w:p>
    <w:p w14:paraId="7D381E82" w14:textId="4574E69A" w:rsidR="00A42095" w:rsidRPr="009A130F" w:rsidRDefault="006F5ED3" w:rsidP="006F5ED3">
      <w:pPr>
        <w:pStyle w:val="ListParagraph"/>
        <w:numPr>
          <w:ilvl w:val="3"/>
          <w:numId w:val="26"/>
        </w:numPr>
        <w:rPr>
          <w:b/>
          <w:bCs/>
        </w:rPr>
      </w:pPr>
      <w:r w:rsidRPr="009A130F">
        <w:rPr>
          <w:b/>
          <w:bCs/>
        </w:rPr>
        <w:t>CFP 1.0 Reset to Conclude 2013 CBRE Comprehensive Facilities Plan &amp; Initiate New Effort in Conjunction with Newly Hired Facilities Planning &amp; Development Staff</w:t>
      </w:r>
      <w:r w:rsidR="009A130F">
        <w:rPr>
          <w:b/>
          <w:bCs/>
        </w:rPr>
        <w:t xml:space="preserve"> and Contract support (if needed)</w:t>
      </w:r>
    </w:p>
    <w:p w14:paraId="69F6E252" w14:textId="562738F4" w:rsidR="00944D3C" w:rsidRPr="0086040D" w:rsidRDefault="00944D3C" w:rsidP="0086040D">
      <w:pPr>
        <w:rPr>
          <w:b/>
          <w:bCs/>
        </w:rPr>
      </w:pPr>
    </w:p>
    <w:p w14:paraId="69F6E253" w14:textId="77777777" w:rsidR="00944D3C" w:rsidRDefault="00944D3C">
      <w:pPr>
        <w:rPr>
          <w:rFonts w:cs="Times New Roman"/>
          <w:b/>
          <w:bCs/>
        </w:rPr>
      </w:pPr>
      <w:r>
        <w:rPr>
          <w:rFonts w:cs="Times New Roman"/>
          <w:b/>
          <w:bCs/>
        </w:rPr>
        <w:t>Deliverable #4 – Disposition Plan for the City Campus Property</w:t>
      </w:r>
    </w:p>
    <w:p w14:paraId="69F6E254" w14:textId="4ABAC2BD" w:rsidR="00B65618" w:rsidRPr="00F91964" w:rsidRDefault="006F5ED3" w:rsidP="00B65618">
      <w:pPr>
        <w:pStyle w:val="ListParagraph"/>
        <w:numPr>
          <w:ilvl w:val="0"/>
          <w:numId w:val="20"/>
        </w:numPr>
        <w:rPr>
          <w:i/>
          <w:iCs/>
          <w:u w:val="single"/>
        </w:rPr>
      </w:pPr>
      <w:r>
        <w:t>The City Campus property transaction closed November</w:t>
      </w:r>
      <w:r w:rsidR="009A130F">
        <w:t xml:space="preserve"> 20</w:t>
      </w:r>
      <w:r>
        <w:t>, 2015.</w:t>
      </w:r>
    </w:p>
    <w:p w14:paraId="69F6E256" w14:textId="77777777" w:rsidR="00944D3C" w:rsidRDefault="00944D3C">
      <w:pPr>
        <w:rPr>
          <w:rFonts w:cs="Times New Roman"/>
        </w:rPr>
      </w:pPr>
    </w:p>
    <w:p w14:paraId="69F6E257" w14:textId="77777777" w:rsidR="00944D3C" w:rsidRDefault="00944D3C">
      <w:pPr>
        <w:rPr>
          <w:rFonts w:cs="Times New Roman"/>
          <w:b/>
          <w:bCs/>
        </w:rPr>
      </w:pPr>
      <w:r>
        <w:rPr>
          <w:rFonts w:cs="Times New Roman"/>
          <w:b/>
          <w:bCs/>
        </w:rPr>
        <w:t xml:space="preserve">Deliverable #5 – Comprehensive Plan for County Grounds </w:t>
      </w:r>
    </w:p>
    <w:p w14:paraId="5A2C53E6" w14:textId="77777777" w:rsidR="004E411F" w:rsidRDefault="006F5ED3" w:rsidP="004E411F">
      <w:pPr>
        <w:pStyle w:val="ListParagraph"/>
        <w:numPr>
          <w:ilvl w:val="0"/>
          <w:numId w:val="28"/>
        </w:numPr>
      </w:pPr>
      <w:r>
        <w:t>Facilities Management Division is supporting multiple efforts at the County Grounds:</w:t>
      </w:r>
    </w:p>
    <w:p w14:paraId="7DC9BE00" w14:textId="3D9AFE05" w:rsidR="00E54832" w:rsidRDefault="000F270B" w:rsidP="004E411F">
      <w:pPr>
        <w:pStyle w:val="ListParagraph"/>
        <w:numPr>
          <w:ilvl w:val="1"/>
          <w:numId w:val="28"/>
        </w:numPr>
      </w:pPr>
      <w:r>
        <w:t xml:space="preserve">Potential </w:t>
      </w:r>
      <w:r w:rsidR="004E411F">
        <w:t>New County Tenants</w:t>
      </w:r>
      <w:r w:rsidR="00AD06A9">
        <w:t xml:space="preserve"> to be relocated to the County Grounds</w:t>
      </w:r>
      <w:r w:rsidR="004E411F">
        <w:t xml:space="preserve">: </w:t>
      </w:r>
    </w:p>
    <w:p w14:paraId="2DCEA33D" w14:textId="77777777" w:rsidR="00E54832" w:rsidRDefault="5A1D57C9" w:rsidP="00E54832">
      <w:pPr>
        <w:pStyle w:val="ListParagraph"/>
        <w:numPr>
          <w:ilvl w:val="2"/>
          <w:numId w:val="28"/>
        </w:numPr>
      </w:pPr>
      <w:r>
        <w:t>Office of the Medical Examiner</w:t>
      </w:r>
    </w:p>
    <w:p w14:paraId="581F5500" w14:textId="1103D46B" w:rsidR="00E54832" w:rsidRDefault="00762CAA" w:rsidP="00E54832">
      <w:pPr>
        <w:pStyle w:val="ListParagraph"/>
        <w:numPr>
          <w:ilvl w:val="2"/>
          <w:numId w:val="28"/>
        </w:numPr>
      </w:pPr>
      <w:r>
        <w:t>Office of Emergency Management</w:t>
      </w:r>
    </w:p>
    <w:p w14:paraId="0402724E" w14:textId="77777777" w:rsidR="000F270B" w:rsidRDefault="004E411F" w:rsidP="00E54832">
      <w:pPr>
        <w:pStyle w:val="ListParagraph"/>
        <w:numPr>
          <w:ilvl w:val="2"/>
          <w:numId w:val="28"/>
        </w:numPr>
      </w:pPr>
      <w:r>
        <w:t xml:space="preserve">These Departments are working through the Department of Administrative Services to possibly consolidate their facilities adjacent to the MRMC partners. </w:t>
      </w:r>
    </w:p>
    <w:p w14:paraId="196C5D81" w14:textId="6CE7DF91" w:rsidR="004E411F" w:rsidRDefault="004E411F" w:rsidP="00E54832">
      <w:pPr>
        <w:pStyle w:val="ListParagraph"/>
        <w:numPr>
          <w:ilvl w:val="2"/>
          <w:numId w:val="28"/>
        </w:numPr>
      </w:pPr>
      <w:r>
        <w:t xml:space="preserve">No formal plans to date, but meetings beginning in 2016 to discuss </w:t>
      </w:r>
      <w:r w:rsidR="009A130F">
        <w:t>concepts</w:t>
      </w:r>
      <w:r>
        <w:t>.</w:t>
      </w:r>
    </w:p>
    <w:p w14:paraId="1BBE7EE3" w14:textId="0772B90A" w:rsidR="00762CAA" w:rsidRDefault="004E411F" w:rsidP="00762CAA">
      <w:pPr>
        <w:pStyle w:val="ListParagraph"/>
        <w:numPr>
          <w:ilvl w:val="1"/>
          <w:numId w:val="28"/>
        </w:numPr>
      </w:pPr>
      <w:r>
        <w:t>Excess Footprint:</w:t>
      </w:r>
    </w:p>
    <w:p w14:paraId="719AC09C" w14:textId="60A60B86" w:rsidR="004E411F" w:rsidRDefault="004E411F" w:rsidP="00E54832">
      <w:pPr>
        <w:pStyle w:val="ListParagraph"/>
        <w:numPr>
          <w:ilvl w:val="2"/>
          <w:numId w:val="28"/>
        </w:numPr>
      </w:pPr>
      <w:r>
        <w:t>D-18</w:t>
      </w:r>
      <w:r w:rsidR="009A130F">
        <w:t xml:space="preserve"> /</w:t>
      </w:r>
      <w:r>
        <w:t xml:space="preserve"> Former Food Service: Parcel to be surveyed and facility mothballed prior to soliciting a RFP.</w:t>
      </w:r>
    </w:p>
    <w:p w14:paraId="00142264" w14:textId="52F84CA6" w:rsidR="004E411F" w:rsidRDefault="004E411F" w:rsidP="004E411F">
      <w:pPr>
        <w:pStyle w:val="ListParagraph"/>
        <w:numPr>
          <w:ilvl w:val="2"/>
          <w:numId w:val="28"/>
        </w:numPr>
      </w:pPr>
      <w:r>
        <w:t>D-19</w:t>
      </w:r>
      <w:r w:rsidR="00B146EA">
        <w:t xml:space="preserve"> </w:t>
      </w:r>
      <w:r>
        <w:t>/</w:t>
      </w:r>
      <w:r w:rsidR="00B146EA">
        <w:t xml:space="preserve"> </w:t>
      </w:r>
      <w:r>
        <w:t>D-29</w:t>
      </w:r>
      <w:r w:rsidR="00B146EA">
        <w:t xml:space="preserve"> </w:t>
      </w:r>
      <w:r>
        <w:t>/</w:t>
      </w:r>
      <w:r w:rsidR="00B146EA">
        <w:t xml:space="preserve"> </w:t>
      </w:r>
      <w:r>
        <w:t>D-32</w:t>
      </w:r>
      <w:r w:rsidR="009A130F">
        <w:t xml:space="preserve"> </w:t>
      </w:r>
      <w:r>
        <w:t>/</w:t>
      </w:r>
      <w:r w:rsidR="009A130F">
        <w:t xml:space="preserve"> </w:t>
      </w:r>
      <w:r>
        <w:t>Former Day Hospital Site: Parcel to be surveyed and facility mothballed. Discussions ongoing with MRMC regarding best way ahead for Milwaukee County and partners.</w:t>
      </w:r>
    </w:p>
    <w:p w14:paraId="4FC6F213" w14:textId="78800E7F" w:rsidR="000B6EED" w:rsidRDefault="000B6EED" w:rsidP="004E411F">
      <w:pPr>
        <w:pStyle w:val="ListParagraph"/>
        <w:numPr>
          <w:ilvl w:val="2"/>
          <w:numId w:val="28"/>
        </w:numPr>
      </w:pPr>
      <w:r>
        <w:t>Milwaukee County Research Park’s Technology Innovation Center</w:t>
      </w:r>
      <w:r w:rsidR="004E411F">
        <w:t>: County staff all m</w:t>
      </w:r>
      <w:r w:rsidR="009A130F">
        <w:t>oved to Fleet addition;</w:t>
      </w:r>
      <w:r w:rsidR="004E411F">
        <w:t xml:space="preserve"> no County staff remain. Research Park has option to purchase property.</w:t>
      </w:r>
    </w:p>
    <w:p w14:paraId="3DF02FD6" w14:textId="693077DC" w:rsidR="00762CAA" w:rsidRDefault="00E54832" w:rsidP="00762CAA">
      <w:pPr>
        <w:pStyle w:val="ListParagraph"/>
        <w:numPr>
          <w:ilvl w:val="1"/>
          <w:numId w:val="28"/>
        </w:numPr>
      </w:pPr>
      <w:r>
        <w:t>Water Distribution System</w:t>
      </w:r>
      <w:r w:rsidR="003F47CF">
        <w:t>:</w:t>
      </w:r>
    </w:p>
    <w:p w14:paraId="69F6E262" w14:textId="4BF0EDD7" w:rsidR="006458CB" w:rsidRDefault="00E54832" w:rsidP="00762CAA">
      <w:pPr>
        <w:pStyle w:val="ListParagraph"/>
        <w:numPr>
          <w:ilvl w:val="2"/>
          <w:numId w:val="28"/>
        </w:numPr>
      </w:pPr>
      <w:r>
        <w:t>Facilities Management Division developing plans in partnership with MRMC and the City of Wauwatosa regarding future operations of the water, storm, and sanitary sys</w:t>
      </w:r>
      <w:r w:rsidR="009A130F">
        <w:t>tems.</w:t>
      </w:r>
    </w:p>
    <w:p w14:paraId="049D8DA8" w14:textId="3B8E0647" w:rsidR="00E54832" w:rsidRDefault="00E54832" w:rsidP="00762CAA">
      <w:pPr>
        <w:pStyle w:val="ListParagraph"/>
        <w:numPr>
          <w:ilvl w:val="2"/>
          <w:numId w:val="28"/>
        </w:numPr>
      </w:pPr>
      <w:r>
        <w:lastRenderedPageBreak/>
        <w:t>The goal of the discussions is to develop the system in a manner that is beneficial to all; operators</w:t>
      </w:r>
      <w:r w:rsidR="009A130F">
        <w:t>, end users, and municipalities.</w:t>
      </w:r>
    </w:p>
    <w:p w14:paraId="51F381A5" w14:textId="77777777" w:rsidR="00481FAF" w:rsidRDefault="00481FAF" w:rsidP="00481FAF">
      <w:pPr>
        <w:pStyle w:val="ListParagraph"/>
        <w:ind w:left="1800"/>
      </w:pPr>
    </w:p>
    <w:p w14:paraId="7397B8C2" w14:textId="21DAAC44" w:rsidR="5DB29E3B" w:rsidRDefault="00E54832" w:rsidP="5DB29E3B">
      <w:pPr>
        <w:pStyle w:val="ListParagraph"/>
        <w:numPr>
          <w:ilvl w:val="1"/>
          <w:numId w:val="28"/>
        </w:numPr>
      </w:pPr>
      <w:r>
        <w:t>Existing County Buildings</w:t>
      </w:r>
    </w:p>
    <w:p w14:paraId="5E529994" w14:textId="5293A03E" w:rsidR="00E54832" w:rsidRDefault="00E54832" w:rsidP="00E54832">
      <w:pPr>
        <w:pStyle w:val="ListParagraph"/>
        <w:numPr>
          <w:ilvl w:val="2"/>
          <w:numId w:val="28"/>
        </w:numPr>
      </w:pPr>
      <w:r>
        <w:t>Vel Phillips Juvenile Justice Center: Facility is part of Courts Master Plan and considered a sustainable solution with no major actions required currently.</w:t>
      </w:r>
      <w:r w:rsidR="009A130F">
        <w:t xml:space="preserve"> Focus is on capital project development for 2016.</w:t>
      </w:r>
    </w:p>
    <w:p w14:paraId="5D0F7CF3" w14:textId="61F89456" w:rsidR="00E54832" w:rsidRDefault="00E54832" w:rsidP="00E54832">
      <w:pPr>
        <w:pStyle w:val="ListParagraph"/>
        <w:numPr>
          <w:ilvl w:val="2"/>
          <w:numId w:val="28"/>
        </w:numPr>
      </w:pPr>
      <w:r>
        <w:t xml:space="preserve">Children’s Adolescent Treatment Center: Houses UW-Extension and Emergency Management staff in addition to various lease holders. Facility is challenged in terms of optimization as a schoolhouse and </w:t>
      </w:r>
      <w:r w:rsidR="00AD06A9">
        <w:t xml:space="preserve">is </w:t>
      </w:r>
      <w:r>
        <w:t xml:space="preserve">being </w:t>
      </w:r>
      <w:r w:rsidR="00AD06A9">
        <w:t>assessed by</w:t>
      </w:r>
      <w:r>
        <w:t xml:space="preserve"> DHHS and other potential users.</w:t>
      </w:r>
    </w:p>
    <w:p w14:paraId="4764A5BA" w14:textId="4B98BD68" w:rsidR="00E54832" w:rsidRDefault="00E54832" w:rsidP="00E54832">
      <w:pPr>
        <w:pStyle w:val="ListParagraph"/>
        <w:numPr>
          <w:ilvl w:val="2"/>
          <w:numId w:val="28"/>
        </w:numPr>
      </w:pPr>
      <w:r>
        <w:t>Mental Health Complex: Actively utilized by DHHS</w:t>
      </w:r>
      <w:r w:rsidR="009A130F">
        <w:t>.</w:t>
      </w:r>
      <w:r>
        <w:t xml:space="preserve"> </w:t>
      </w:r>
      <w:r w:rsidR="009A130F">
        <w:t xml:space="preserve">The interior </w:t>
      </w:r>
      <w:r>
        <w:t xml:space="preserve">space is extensively utilized since </w:t>
      </w:r>
      <w:r w:rsidR="000F270B">
        <w:t xml:space="preserve">D-19 / </w:t>
      </w:r>
      <w:r>
        <w:t>Day Hospital’s closure.</w:t>
      </w:r>
    </w:p>
    <w:p w14:paraId="69F6E263" w14:textId="77777777" w:rsidR="00944D3C" w:rsidRDefault="00944D3C">
      <w:pPr>
        <w:rPr>
          <w:rFonts w:cs="Times New Roman"/>
          <w:b/>
          <w:bCs/>
        </w:rPr>
      </w:pPr>
    </w:p>
    <w:p w14:paraId="69F6E264" w14:textId="77777777" w:rsidR="00944D3C" w:rsidRPr="00EE5A19" w:rsidRDefault="00944D3C">
      <w:pPr>
        <w:rPr>
          <w:rFonts w:cs="Times New Roman"/>
          <w:b/>
          <w:bCs/>
        </w:rPr>
      </w:pPr>
      <w:r w:rsidRPr="00EE5A19">
        <w:rPr>
          <w:rFonts w:cs="Times New Roman"/>
          <w:b/>
          <w:bCs/>
        </w:rPr>
        <w:t xml:space="preserve">Deliverable #6 – Courthouse Complex Plan </w:t>
      </w:r>
    </w:p>
    <w:p w14:paraId="69F6E265" w14:textId="4DFC5B07" w:rsidR="00944D3C" w:rsidRPr="00EE5A19" w:rsidRDefault="00944D3C" w:rsidP="00EE5A19">
      <w:pPr>
        <w:pStyle w:val="ListParagraph"/>
        <w:numPr>
          <w:ilvl w:val="0"/>
          <w:numId w:val="28"/>
        </w:numPr>
      </w:pPr>
      <w:r w:rsidRPr="00EE5A19">
        <w:t xml:space="preserve">The CFP </w:t>
      </w:r>
      <w:r w:rsidR="00EE5A19" w:rsidRPr="00EE5A19">
        <w:t xml:space="preserve">Committee </w:t>
      </w:r>
      <w:r w:rsidR="00FD4E8B">
        <w:t>is executing a project</w:t>
      </w:r>
      <w:r w:rsidR="00EE5A19" w:rsidRPr="00EE5A19">
        <w:t xml:space="preserve"> to “identify a consolidated, redesigned space for the people working in and ser</w:t>
      </w:r>
      <w:r w:rsidR="00AD06A9">
        <w:t xml:space="preserve">ved by Milwaukee County Courts.  The initial objective is to </w:t>
      </w:r>
      <w:r w:rsidR="00EE5A19" w:rsidRPr="00EE5A19">
        <w:t>identify the highest and best use of th</w:t>
      </w:r>
      <w:r w:rsidR="00FD4E8B">
        <w:t>e Milwaukee County Courthouse.”</w:t>
      </w:r>
    </w:p>
    <w:p w14:paraId="69F6E266" w14:textId="0E5B9A97" w:rsidR="00EE5A19" w:rsidRPr="00EE5A19" w:rsidRDefault="00EE5A19">
      <w:pPr>
        <w:pStyle w:val="ListParagraph"/>
        <w:numPr>
          <w:ilvl w:val="0"/>
          <w:numId w:val="28"/>
        </w:numPr>
        <w:rPr>
          <w:b/>
          <w:bCs/>
        </w:rPr>
      </w:pPr>
      <w:r w:rsidRPr="00EE5A19">
        <w:rPr>
          <w:bCs/>
        </w:rPr>
        <w:t xml:space="preserve">The project </w:t>
      </w:r>
      <w:r w:rsidR="001B289E">
        <w:rPr>
          <w:bCs/>
        </w:rPr>
        <w:t xml:space="preserve">was </w:t>
      </w:r>
      <w:r w:rsidRPr="00EE5A19">
        <w:rPr>
          <w:bCs/>
        </w:rPr>
        <w:t xml:space="preserve">awarded in </w:t>
      </w:r>
      <w:r w:rsidR="001B289E">
        <w:rPr>
          <w:bCs/>
        </w:rPr>
        <w:t>August</w:t>
      </w:r>
      <w:r w:rsidRPr="00EE5A19">
        <w:rPr>
          <w:bCs/>
        </w:rPr>
        <w:t xml:space="preserve"> 2015 and </w:t>
      </w:r>
      <w:r w:rsidR="001B289E">
        <w:rPr>
          <w:bCs/>
        </w:rPr>
        <w:t xml:space="preserve">should be </w:t>
      </w:r>
      <w:r w:rsidR="00F67988">
        <w:rPr>
          <w:bCs/>
        </w:rPr>
        <w:t>complete</w:t>
      </w:r>
      <w:r w:rsidR="00AD06A9">
        <w:rPr>
          <w:bCs/>
        </w:rPr>
        <w:t>d by</w:t>
      </w:r>
      <w:r w:rsidR="00F67988">
        <w:rPr>
          <w:bCs/>
        </w:rPr>
        <w:t xml:space="preserve"> early</w:t>
      </w:r>
      <w:r w:rsidRPr="00EE5A19">
        <w:rPr>
          <w:bCs/>
        </w:rPr>
        <w:t xml:space="preserve"> 2016.</w:t>
      </w:r>
    </w:p>
    <w:p w14:paraId="69F6E267" w14:textId="77777777" w:rsidR="00944D3C" w:rsidRPr="00EE5A19" w:rsidRDefault="00976925">
      <w:pPr>
        <w:pStyle w:val="ListParagraph"/>
        <w:numPr>
          <w:ilvl w:val="0"/>
          <w:numId w:val="28"/>
        </w:numPr>
        <w:rPr>
          <w:b/>
          <w:bCs/>
        </w:rPr>
      </w:pPr>
      <w:r>
        <w:t>Further details are delineated in the Phase 3 update below.</w:t>
      </w:r>
      <w:r w:rsidR="00EE5A19" w:rsidRPr="00EE5A19">
        <w:t xml:space="preserve"> </w:t>
      </w:r>
    </w:p>
    <w:p w14:paraId="69F6E268" w14:textId="77777777" w:rsidR="00944D3C" w:rsidRDefault="00944D3C">
      <w:pPr>
        <w:rPr>
          <w:rFonts w:cs="Times New Roman"/>
          <w:b/>
          <w:bCs/>
        </w:rPr>
      </w:pPr>
    </w:p>
    <w:p w14:paraId="69F6E269" w14:textId="77777777" w:rsidR="00944D3C" w:rsidRDefault="00944D3C">
      <w:pPr>
        <w:rPr>
          <w:rFonts w:cs="Times New Roman"/>
          <w:b/>
          <w:bCs/>
          <w:i/>
          <w:iCs/>
        </w:rPr>
      </w:pPr>
      <w:r>
        <w:rPr>
          <w:rFonts w:cs="Times New Roman"/>
          <w:b/>
          <w:bCs/>
        </w:rPr>
        <w:t>Deliverable #7 – Facility Management Consoli</w:t>
      </w:r>
      <w:r w:rsidR="00EE5A19">
        <w:rPr>
          <w:rFonts w:cs="Times New Roman"/>
          <w:b/>
          <w:bCs/>
        </w:rPr>
        <w:t>dation</w:t>
      </w:r>
    </w:p>
    <w:p w14:paraId="77353BEB" w14:textId="0C3434CA" w:rsidR="008201F6" w:rsidRPr="008201F6" w:rsidRDefault="008201F6" w:rsidP="001B3AA2">
      <w:pPr>
        <w:pStyle w:val="ListParagraph"/>
        <w:numPr>
          <w:ilvl w:val="0"/>
          <w:numId w:val="35"/>
        </w:numPr>
        <w:rPr>
          <w:bCs/>
        </w:rPr>
      </w:pPr>
      <w:r w:rsidRPr="008201F6">
        <w:rPr>
          <w:bCs/>
        </w:rPr>
        <w:t>Facilities Management Division Centralized Staffing</w:t>
      </w:r>
    </w:p>
    <w:p w14:paraId="50489976" w14:textId="3D518DB3" w:rsidR="008201F6" w:rsidRPr="008201F6" w:rsidRDefault="008201F6" w:rsidP="008201F6">
      <w:pPr>
        <w:pStyle w:val="ListParagraph"/>
        <w:numPr>
          <w:ilvl w:val="1"/>
          <w:numId w:val="35"/>
        </w:numPr>
        <w:rPr>
          <w:bCs/>
        </w:rPr>
      </w:pPr>
      <w:r w:rsidRPr="008201F6">
        <w:rPr>
          <w:bCs/>
        </w:rPr>
        <w:t xml:space="preserve">The </w:t>
      </w:r>
      <w:r>
        <w:rPr>
          <w:bCs/>
        </w:rPr>
        <w:t>2016 budget approved</w:t>
      </w:r>
      <w:r w:rsidRPr="008201F6">
        <w:rPr>
          <w:bCs/>
        </w:rPr>
        <w:t xml:space="preserve"> Director of Facilities</w:t>
      </w:r>
      <w:r>
        <w:rPr>
          <w:bCs/>
        </w:rPr>
        <w:t>,</w:t>
      </w:r>
      <w:r w:rsidRPr="008201F6">
        <w:rPr>
          <w:bCs/>
        </w:rPr>
        <w:t xml:space="preserve"> Planning &amp; Development will be hired in winter 2016.</w:t>
      </w:r>
    </w:p>
    <w:p w14:paraId="2293A4FD" w14:textId="4A1F2324" w:rsidR="008201F6" w:rsidRPr="008201F6" w:rsidRDefault="008201F6" w:rsidP="008201F6">
      <w:pPr>
        <w:pStyle w:val="ListParagraph"/>
        <w:numPr>
          <w:ilvl w:val="1"/>
          <w:numId w:val="35"/>
        </w:numPr>
        <w:rPr>
          <w:bCs/>
        </w:rPr>
      </w:pPr>
      <w:r w:rsidRPr="008201F6">
        <w:rPr>
          <w:bCs/>
        </w:rPr>
        <w:t>Two Facilities Space Planne</w:t>
      </w:r>
      <w:r w:rsidR="00AD06A9">
        <w:rPr>
          <w:bCs/>
        </w:rPr>
        <w:t xml:space="preserve">rs will be hired in spring 2016.  These positions are also included in the 2016 Adopted Budget. </w:t>
      </w:r>
    </w:p>
    <w:p w14:paraId="06755EF8" w14:textId="453A66F1" w:rsidR="008201F6" w:rsidRDefault="008201F6" w:rsidP="008201F6">
      <w:pPr>
        <w:pStyle w:val="ListParagraph"/>
        <w:numPr>
          <w:ilvl w:val="1"/>
          <w:numId w:val="35"/>
        </w:numPr>
        <w:rPr>
          <w:bCs/>
        </w:rPr>
      </w:pPr>
      <w:r w:rsidRPr="008201F6">
        <w:rPr>
          <w:bCs/>
        </w:rPr>
        <w:t>One newly created Facil</w:t>
      </w:r>
      <w:r>
        <w:rPr>
          <w:bCs/>
        </w:rPr>
        <w:t>i</w:t>
      </w:r>
      <w:r w:rsidRPr="008201F6">
        <w:rPr>
          <w:bCs/>
        </w:rPr>
        <w:t>ties Management Specialist should be hired in spring 2016</w:t>
      </w:r>
      <w:r>
        <w:rPr>
          <w:bCs/>
        </w:rPr>
        <w:t xml:space="preserve">. This position will be responsible for </w:t>
      </w:r>
      <w:r w:rsidR="000F270B">
        <w:rPr>
          <w:bCs/>
        </w:rPr>
        <w:t xml:space="preserve">landlord-tenant </w:t>
      </w:r>
      <w:r w:rsidRPr="008201F6">
        <w:rPr>
          <w:bCs/>
        </w:rPr>
        <w:t xml:space="preserve">communications and major maintenance/capital project </w:t>
      </w:r>
      <w:r w:rsidR="000F270B">
        <w:rPr>
          <w:bCs/>
        </w:rPr>
        <w:t>coordination</w:t>
      </w:r>
      <w:r w:rsidRPr="008201F6">
        <w:rPr>
          <w:bCs/>
        </w:rPr>
        <w:t>.</w:t>
      </w:r>
      <w:r w:rsidR="00AD06A9">
        <w:rPr>
          <w:bCs/>
        </w:rPr>
        <w:t xml:space="preserve">  This is a reclassified, existing position.</w:t>
      </w:r>
    </w:p>
    <w:p w14:paraId="00B13B82" w14:textId="16D17FC6" w:rsidR="008201F6" w:rsidRPr="008201F6" w:rsidRDefault="008201F6" w:rsidP="008201F6">
      <w:pPr>
        <w:pStyle w:val="ListParagraph"/>
        <w:numPr>
          <w:ilvl w:val="1"/>
          <w:numId w:val="35"/>
        </w:numPr>
        <w:rPr>
          <w:bCs/>
        </w:rPr>
      </w:pPr>
      <w:r>
        <w:rPr>
          <w:bCs/>
        </w:rPr>
        <w:t xml:space="preserve">One newly created Operations Manager should be hired in spring 2016.  This position will be responsible for operational quality assurance in FMD’s facilities such as mail distribution, pest control, janitorial services, and supervising the building operations staff. </w:t>
      </w:r>
      <w:r w:rsidR="00AD06A9">
        <w:rPr>
          <w:bCs/>
        </w:rPr>
        <w:t xml:space="preserve">  This is a reclassified existing position.</w:t>
      </w:r>
    </w:p>
    <w:p w14:paraId="41C2E53F" w14:textId="77777777" w:rsidR="005A229A" w:rsidRPr="005A229A" w:rsidRDefault="005A229A" w:rsidP="001B3AA2">
      <w:pPr>
        <w:pStyle w:val="ListParagraph"/>
        <w:numPr>
          <w:ilvl w:val="0"/>
          <w:numId w:val="35"/>
        </w:numPr>
        <w:rPr>
          <w:b/>
          <w:bCs/>
        </w:rPr>
      </w:pPr>
      <w:r>
        <w:t>Computerized Maintenance Management System (CMMS):</w:t>
      </w:r>
    </w:p>
    <w:p w14:paraId="188A6DB0" w14:textId="1CF01BFC" w:rsidR="00F67988" w:rsidRPr="00F67988" w:rsidRDefault="00FD4E8B" w:rsidP="005A229A">
      <w:pPr>
        <w:pStyle w:val="ListParagraph"/>
        <w:numPr>
          <w:ilvl w:val="1"/>
          <w:numId w:val="35"/>
        </w:numPr>
        <w:rPr>
          <w:b/>
          <w:bCs/>
        </w:rPr>
      </w:pPr>
      <w:r>
        <w:t>A key</w:t>
      </w:r>
      <w:r w:rsidR="00F67988">
        <w:t xml:space="preserve"> initiative associated with this deliverable is the </w:t>
      </w:r>
      <w:r w:rsidR="000F270B">
        <w:t>implementation of a County-wide CMMS.</w:t>
      </w:r>
    </w:p>
    <w:p w14:paraId="10D01E98" w14:textId="77777777" w:rsidR="00F67988" w:rsidRPr="00F67988" w:rsidRDefault="00F67988" w:rsidP="00F67988">
      <w:pPr>
        <w:pStyle w:val="ListParagraph"/>
        <w:numPr>
          <w:ilvl w:val="1"/>
          <w:numId w:val="35"/>
        </w:numPr>
        <w:rPr>
          <w:b/>
          <w:bCs/>
        </w:rPr>
      </w:pPr>
      <w:r>
        <w:t>The system chosen for implementation and utilization is Cityworks.</w:t>
      </w:r>
    </w:p>
    <w:p w14:paraId="69F6E26A" w14:textId="55192C3C" w:rsidR="004018BD" w:rsidRPr="00A42095" w:rsidRDefault="005A229A" w:rsidP="00F67988">
      <w:pPr>
        <w:pStyle w:val="ListParagraph"/>
        <w:numPr>
          <w:ilvl w:val="1"/>
          <w:numId w:val="35"/>
        </w:numPr>
        <w:rPr>
          <w:b/>
          <w:bCs/>
        </w:rPr>
      </w:pPr>
      <w:r>
        <w:t xml:space="preserve">Proposals are due to the County in January 2016. The RFP review process will commence immediately and results planned to be presented to the County Board in March 2016. </w:t>
      </w:r>
    </w:p>
    <w:p w14:paraId="60ADF8D4" w14:textId="77777777" w:rsidR="005A229A" w:rsidRDefault="005A229A" w:rsidP="00762CAA">
      <w:pPr>
        <w:pStyle w:val="ListParagraph"/>
        <w:numPr>
          <w:ilvl w:val="0"/>
          <w:numId w:val="35"/>
        </w:numPr>
        <w:rPr>
          <w:bCs/>
        </w:rPr>
      </w:pPr>
      <w:r>
        <w:rPr>
          <w:bCs/>
        </w:rPr>
        <w:t>Facility Manager’s Round Table:</w:t>
      </w:r>
    </w:p>
    <w:p w14:paraId="7F270BF2" w14:textId="60965C06" w:rsidR="005A229A" w:rsidRDefault="005A229A" w:rsidP="005A229A">
      <w:pPr>
        <w:pStyle w:val="ListParagraph"/>
        <w:numPr>
          <w:ilvl w:val="1"/>
          <w:numId w:val="35"/>
        </w:numPr>
        <w:rPr>
          <w:bCs/>
        </w:rPr>
      </w:pPr>
      <w:r>
        <w:rPr>
          <w:bCs/>
        </w:rPr>
        <w:t xml:space="preserve">We have held two round tables, with a third planned in February </w:t>
      </w:r>
      <w:r w:rsidR="000F270B">
        <w:rPr>
          <w:bCs/>
        </w:rPr>
        <w:t>to be held a</w:t>
      </w:r>
      <w:r>
        <w:rPr>
          <w:bCs/>
        </w:rPr>
        <w:t>t the Zoo.</w:t>
      </w:r>
    </w:p>
    <w:p w14:paraId="73852918" w14:textId="43044D90" w:rsidR="005A229A" w:rsidRDefault="005A229A" w:rsidP="005A229A">
      <w:pPr>
        <w:pStyle w:val="ListParagraph"/>
        <w:numPr>
          <w:ilvl w:val="1"/>
          <w:numId w:val="35"/>
        </w:numPr>
        <w:rPr>
          <w:bCs/>
        </w:rPr>
      </w:pPr>
      <w:r>
        <w:rPr>
          <w:bCs/>
        </w:rPr>
        <w:t>Current initiatives are:</w:t>
      </w:r>
    </w:p>
    <w:p w14:paraId="17207744" w14:textId="77777777" w:rsidR="005A229A" w:rsidRDefault="005A229A" w:rsidP="005A229A">
      <w:pPr>
        <w:pStyle w:val="ListParagraph"/>
        <w:numPr>
          <w:ilvl w:val="2"/>
          <w:numId w:val="35"/>
        </w:numPr>
        <w:rPr>
          <w:bCs/>
        </w:rPr>
      </w:pPr>
      <w:r>
        <w:rPr>
          <w:bCs/>
        </w:rPr>
        <w:t>Developing contracting toolbox</w:t>
      </w:r>
    </w:p>
    <w:p w14:paraId="40A943FD" w14:textId="32F539A7" w:rsidR="005A229A" w:rsidRDefault="005A229A" w:rsidP="005A229A">
      <w:pPr>
        <w:pStyle w:val="ListParagraph"/>
        <w:numPr>
          <w:ilvl w:val="2"/>
          <w:numId w:val="35"/>
        </w:numPr>
        <w:rPr>
          <w:bCs/>
        </w:rPr>
      </w:pPr>
      <w:r>
        <w:rPr>
          <w:bCs/>
        </w:rPr>
        <w:t>Updating</w:t>
      </w:r>
      <w:r w:rsidR="003D3F5A">
        <w:rPr>
          <w:bCs/>
        </w:rPr>
        <w:t xml:space="preserve"> the group on</w:t>
      </w:r>
      <w:r>
        <w:rPr>
          <w:bCs/>
        </w:rPr>
        <w:t xml:space="preserve"> Cityworks rollout and process changes</w:t>
      </w:r>
    </w:p>
    <w:p w14:paraId="764B5ED9" w14:textId="24449A18" w:rsidR="000C410F" w:rsidRDefault="005A229A" w:rsidP="005A229A">
      <w:pPr>
        <w:pStyle w:val="ListParagraph"/>
        <w:numPr>
          <w:ilvl w:val="2"/>
          <w:numId w:val="35"/>
        </w:numPr>
        <w:rPr>
          <w:bCs/>
        </w:rPr>
      </w:pPr>
      <w:r w:rsidRPr="005A229A">
        <w:rPr>
          <w:bCs/>
        </w:rPr>
        <w:lastRenderedPageBreak/>
        <w:t>Making available Milwaukee County’s EnergyCAP data</w:t>
      </w:r>
      <w:r w:rsidR="00C714FB">
        <w:rPr>
          <w:bCs/>
        </w:rPr>
        <w:t xml:space="preserve"> (‘utility bills’)</w:t>
      </w:r>
      <w:r w:rsidRPr="005A229A">
        <w:rPr>
          <w:bCs/>
        </w:rPr>
        <w:t xml:space="preserve"> for facility managers to </w:t>
      </w:r>
      <w:r w:rsidR="003D3F5A">
        <w:rPr>
          <w:bCs/>
        </w:rPr>
        <w:t>track and minimize</w:t>
      </w:r>
      <w:r w:rsidRPr="005A229A">
        <w:rPr>
          <w:bCs/>
        </w:rPr>
        <w:t xml:space="preserve"> utility costs. </w:t>
      </w:r>
    </w:p>
    <w:p w14:paraId="7AAEC0AD" w14:textId="0B4F7C89" w:rsidR="00481FAF" w:rsidRDefault="00481FAF" w:rsidP="00481FAF">
      <w:pPr>
        <w:pStyle w:val="ListParagraph"/>
        <w:ind w:left="1800"/>
        <w:rPr>
          <w:bCs/>
        </w:rPr>
      </w:pPr>
    </w:p>
    <w:p w14:paraId="536E1AA3" w14:textId="77777777" w:rsidR="005A229A" w:rsidRDefault="005A229A" w:rsidP="00762CAA">
      <w:pPr>
        <w:pStyle w:val="ListParagraph"/>
        <w:numPr>
          <w:ilvl w:val="0"/>
          <w:numId w:val="35"/>
        </w:numPr>
        <w:rPr>
          <w:bCs/>
        </w:rPr>
      </w:pPr>
      <w:r>
        <w:rPr>
          <w:bCs/>
        </w:rPr>
        <w:t>Facilities Management Manual:</w:t>
      </w:r>
    </w:p>
    <w:p w14:paraId="749E2F53" w14:textId="77777777" w:rsidR="005A229A" w:rsidRDefault="005A229A" w:rsidP="005A229A">
      <w:pPr>
        <w:pStyle w:val="ListParagraph"/>
        <w:numPr>
          <w:ilvl w:val="1"/>
          <w:numId w:val="35"/>
        </w:numPr>
        <w:rPr>
          <w:bCs/>
        </w:rPr>
      </w:pPr>
      <w:r>
        <w:rPr>
          <w:bCs/>
        </w:rPr>
        <w:t xml:space="preserve">Facilities Management is in the first stage of development of the Facilities Management Manual.  </w:t>
      </w:r>
    </w:p>
    <w:p w14:paraId="237C5034" w14:textId="77777777" w:rsidR="005A229A" w:rsidRDefault="005A229A" w:rsidP="005A229A">
      <w:pPr>
        <w:pStyle w:val="ListParagraph"/>
        <w:numPr>
          <w:ilvl w:val="2"/>
          <w:numId w:val="35"/>
        </w:numPr>
        <w:rPr>
          <w:bCs/>
        </w:rPr>
      </w:pPr>
      <w:r>
        <w:rPr>
          <w:bCs/>
        </w:rPr>
        <w:t>Currently focused on contents as they relate to existing regulations.</w:t>
      </w:r>
    </w:p>
    <w:p w14:paraId="40C34F89" w14:textId="54A8873E" w:rsidR="00F67988" w:rsidRPr="005A229A" w:rsidRDefault="005A229A" w:rsidP="005A229A">
      <w:pPr>
        <w:pStyle w:val="ListParagraph"/>
        <w:numPr>
          <w:ilvl w:val="2"/>
          <w:numId w:val="35"/>
        </w:numPr>
        <w:rPr>
          <w:bCs/>
        </w:rPr>
      </w:pPr>
      <w:r>
        <w:rPr>
          <w:bCs/>
        </w:rPr>
        <w:t>Next stage to include common definitions, programs, and procedures.</w:t>
      </w:r>
      <w:r w:rsidRPr="005A229A">
        <w:rPr>
          <w:bCs/>
        </w:rPr>
        <w:t xml:space="preserve"> </w:t>
      </w:r>
    </w:p>
    <w:p w14:paraId="4D916C3A" w14:textId="77777777" w:rsidR="005A229A" w:rsidRPr="005A229A" w:rsidRDefault="005A229A" w:rsidP="00762CAA">
      <w:pPr>
        <w:pStyle w:val="ListParagraph"/>
        <w:numPr>
          <w:ilvl w:val="0"/>
          <w:numId w:val="35"/>
        </w:numPr>
        <w:rPr>
          <w:b/>
          <w:bCs/>
        </w:rPr>
      </w:pPr>
      <w:r>
        <w:t>CFP Steering Committee Charter</w:t>
      </w:r>
    </w:p>
    <w:p w14:paraId="02050CD4" w14:textId="77777777" w:rsidR="005A229A" w:rsidRPr="005A229A" w:rsidRDefault="00762CAA" w:rsidP="005A229A">
      <w:pPr>
        <w:pStyle w:val="ListParagraph"/>
        <w:numPr>
          <w:ilvl w:val="1"/>
          <w:numId w:val="35"/>
        </w:numPr>
        <w:rPr>
          <w:b/>
          <w:bCs/>
        </w:rPr>
      </w:pPr>
      <w:r>
        <w:t>The CFP Steering Commit</w:t>
      </w:r>
      <w:r w:rsidR="00F67988">
        <w:t>tee is developing a charter to be included in the Administrative Manual of Procedures.</w:t>
      </w:r>
    </w:p>
    <w:p w14:paraId="576B3D23" w14:textId="009643E3" w:rsidR="005A229A" w:rsidRPr="005A229A" w:rsidRDefault="005A229A" w:rsidP="005A229A">
      <w:pPr>
        <w:pStyle w:val="ListParagraph"/>
        <w:numPr>
          <w:ilvl w:val="2"/>
          <w:numId w:val="35"/>
        </w:numPr>
        <w:rPr>
          <w:b/>
          <w:bCs/>
        </w:rPr>
      </w:pPr>
      <w:r>
        <w:t>Currently being reviewed by CBRE for industry input.</w:t>
      </w:r>
    </w:p>
    <w:p w14:paraId="744F816F" w14:textId="414F89A7" w:rsidR="005A229A" w:rsidRPr="005A229A" w:rsidRDefault="005A229A" w:rsidP="005A229A">
      <w:pPr>
        <w:pStyle w:val="ListParagraph"/>
        <w:numPr>
          <w:ilvl w:val="2"/>
          <w:numId w:val="35"/>
        </w:numPr>
        <w:rPr>
          <w:b/>
          <w:bCs/>
        </w:rPr>
      </w:pPr>
      <w:r>
        <w:t>Next steps include sharing wi</w:t>
      </w:r>
      <w:r w:rsidR="00AD06A9">
        <w:t xml:space="preserve">th Departments of Corporation </w:t>
      </w:r>
      <w:r>
        <w:t xml:space="preserve">Counsel, and the Administrative Manual of Procedures </w:t>
      </w:r>
      <w:r w:rsidR="00AD06A9">
        <w:t>review</w:t>
      </w:r>
      <w:r>
        <w:t xml:space="preserve"> process.</w:t>
      </w:r>
    </w:p>
    <w:p w14:paraId="69F6E26B" w14:textId="292573C4" w:rsidR="00944D3C" w:rsidRPr="005A229A" w:rsidRDefault="00F67988" w:rsidP="005A229A">
      <w:pPr>
        <w:rPr>
          <w:b/>
          <w:bCs/>
        </w:rPr>
      </w:pPr>
      <w:r>
        <w:t xml:space="preserve"> </w:t>
      </w:r>
    </w:p>
    <w:p w14:paraId="69F6E26C" w14:textId="77777777" w:rsidR="00344465" w:rsidRDefault="00344465">
      <w:pPr>
        <w:pStyle w:val="BlockText"/>
        <w:ind w:left="0" w:right="0"/>
        <w:rPr>
          <w:b/>
          <w:bCs/>
          <w:sz w:val="24"/>
          <w:szCs w:val="24"/>
        </w:rPr>
      </w:pPr>
      <w:r w:rsidRPr="00344465">
        <w:rPr>
          <w:b/>
          <w:bCs/>
          <w:sz w:val="24"/>
          <w:szCs w:val="24"/>
        </w:rPr>
        <w:t xml:space="preserve">UPDATE ON PHASE </w:t>
      </w:r>
      <w:r>
        <w:rPr>
          <w:b/>
          <w:bCs/>
          <w:sz w:val="24"/>
          <w:szCs w:val="24"/>
        </w:rPr>
        <w:t>3</w:t>
      </w:r>
      <w:r w:rsidRPr="00344465">
        <w:rPr>
          <w:b/>
          <w:bCs/>
          <w:sz w:val="24"/>
          <w:szCs w:val="24"/>
        </w:rPr>
        <w:t xml:space="preserve"> OF THE CFP</w:t>
      </w:r>
    </w:p>
    <w:p w14:paraId="69F6E26D" w14:textId="77777777" w:rsidR="00344465" w:rsidRDefault="00344465">
      <w:pPr>
        <w:pStyle w:val="BlockText"/>
        <w:ind w:left="0" w:right="0"/>
        <w:rPr>
          <w:b/>
          <w:bCs/>
          <w:sz w:val="24"/>
          <w:szCs w:val="24"/>
        </w:rPr>
      </w:pPr>
    </w:p>
    <w:p w14:paraId="69F6E26E" w14:textId="59EBBE36" w:rsidR="00344465" w:rsidRPr="00C53558" w:rsidRDefault="00B94A25" w:rsidP="00344465">
      <w:pPr>
        <w:pStyle w:val="BodyTextIndent"/>
        <w:ind w:left="0"/>
        <w:rPr>
          <w:szCs w:val="22"/>
        </w:rPr>
      </w:pPr>
      <w:r>
        <w:t xml:space="preserve">In August 2015 Milwaukee County awarded a contract to </w:t>
      </w:r>
      <w:r w:rsidR="008B3748">
        <w:t xml:space="preserve">an architectural consultant, </w:t>
      </w:r>
      <w:r>
        <w:t>HGA</w:t>
      </w:r>
      <w:r w:rsidR="008B3748">
        <w:t>,</w:t>
      </w:r>
      <w:r>
        <w:t xml:space="preserve"> to complete the Courthouse Complex Plan. The work is ongoing with over 50 interviews taken place and extensive analysis underway regarding Courts space planning, caseload projections, and options for future development.</w:t>
      </w:r>
      <w:r w:rsidR="00344465">
        <w:rPr>
          <w:bCs/>
          <w:szCs w:val="22"/>
        </w:rPr>
        <w:t xml:space="preserve"> </w:t>
      </w:r>
    </w:p>
    <w:p w14:paraId="69F6E26F" w14:textId="77777777" w:rsidR="00344465" w:rsidRPr="00C53558" w:rsidRDefault="00344465" w:rsidP="00344465">
      <w:pPr>
        <w:pStyle w:val="ListParagraph"/>
        <w:ind w:left="0"/>
        <w:rPr>
          <w:sz w:val="22"/>
          <w:szCs w:val="22"/>
        </w:rPr>
      </w:pPr>
    </w:p>
    <w:p w14:paraId="69F6E270" w14:textId="02CC34CD" w:rsidR="00344465" w:rsidRPr="003306E3" w:rsidRDefault="00B94A25" w:rsidP="00344465">
      <w:pPr>
        <w:pStyle w:val="ListParagraph"/>
        <w:numPr>
          <w:ilvl w:val="0"/>
          <w:numId w:val="38"/>
        </w:numPr>
        <w:ind w:left="360"/>
        <w:contextualSpacing/>
      </w:pPr>
      <w:r>
        <w:rPr>
          <w:u w:val="single"/>
        </w:rPr>
        <w:t>Leadership Engagement</w:t>
      </w:r>
      <w:r w:rsidR="00344465" w:rsidRPr="003306E3">
        <w:t xml:space="preserve">: </w:t>
      </w:r>
      <w:r w:rsidR="00D63F1C">
        <w:t>Three</w:t>
      </w:r>
      <w:r>
        <w:t xml:space="preserve"> meetings have occurred with a leadership planning team receiving updates on the Courthouse Complex Plan project. </w:t>
      </w:r>
      <w:r w:rsidR="000C410F">
        <w:t>The leadership team includes members of Courts, Sheriff, District Attorney, Clerk, County Board Chairman, DAS, and many others.</w:t>
      </w:r>
    </w:p>
    <w:p w14:paraId="69F6E271" w14:textId="77777777" w:rsidR="00344465" w:rsidRPr="003306E3" w:rsidRDefault="00344465" w:rsidP="00344465"/>
    <w:p w14:paraId="22CAB6C5" w14:textId="27BD1F09" w:rsidR="009A21C3" w:rsidRPr="00D63F1C" w:rsidRDefault="000C410F" w:rsidP="004F31EC">
      <w:pPr>
        <w:pStyle w:val="ListParagraph"/>
        <w:numPr>
          <w:ilvl w:val="0"/>
          <w:numId w:val="38"/>
        </w:numPr>
        <w:ind w:left="360"/>
        <w:contextualSpacing/>
        <w:rPr>
          <w:u w:val="single"/>
        </w:rPr>
      </w:pPr>
      <w:r w:rsidRPr="00D63F1C">
        <w:rPr>
          <w:u w:val="single"/>
        </w:rPr>
        <w:t>Current Status:</w:t>
      </w:r>
      <w:r w:rsidRPr="000C410F">
        <w:t xml:space="preserve"> </w:t>
      </w:r>
      <w:r>
        <w:t xml:space="preserve">The contracted team </w:t>
      </w:r>
      <w:r w:rsidR="00D63F1C">
        <w:t xml:space="preserve">has completed their analysis of all staffing, case load, current facility conditions and multiple other drivers for the development of the County Courts’ facility priorities. Of all the Court spaces and processes reviewed, the Criminal Court System is clearly the top priority for required facility changes.  The team is finalizing recommendations </w:t>
      </w:r>
      <w:r w:rsidR="00043BFC">
        <w:t>to be reviewed by County Leadership.  Recommendations may</w:t>
      </w:r>
      <w:r w:rsidR="00D63F1C">
        <w:t xml:space="preserve"> include a complete facilities redesign of the criminal court system for Milwaukee County</w:t>
      </w:r>
      <w:r w:rsidR="00043BFC">
        <w:t xml:space="preserve"> because these </w:t>
      </w:r>
      <w:r w:rsidR="00D63F1C">
        <w:t xml:space="preserve">facilities are not within current court standards, create safety and security risks, and </w:t>
      </w:r>
      <w:r w:rsidR="00BF61D6">
        <w:t xml:space="preserve">would be </w:t>
      </w:r>
      <w:r w:rsidR="00D63F1C">
        <w:t>extremely difficult to modify to comply with 21</w:t>
      </w:r>
      <w:r w:rsidR="00D63F1C" w:rsidRPr="00D63F1C">
        <w:rPr>
          <w:vertAlign w:val="superscript"/>
        </w:rPr>
        <w:t>st</w:t>
      </w:r>
      <w:r w:rsidR="00D63F1C">
        <w:t xml:space="preserve"> century practices.</w:t>
      </w:r>
    </w:p>
    <w:p w14:paraId="0A5373E9" w14:textId="77777777" w:rsidR="00D63F1C" w:rsidRPr="00D63F1C" w:rsidRDefault="00D63F1C" w:rsidP="00D63F1C">
      <w:pPr>
        <w:pStyle w:val="ListParagraph"/>
        <w:rPr>
          <w:u w:val="single"/>
        </w:rPr>
      </w:pPr>
    </w:p>
    <w:p w14:paraId="3C51F7E3" w14:textId="78C07D9C" w:rsidR="00E3492B" w:rsidRPr="00C714FB" w:rsidRDefault="000C410F" w:rsidP="00D336D0">
      <w:pPr>
        <w:pStyle w:val="ListParagraph"/>
        <w:numPr>
          <w:ilvl w:val="0"/>
          <w:numId w:val="38"/>
        </w:numPr>
        <w:ind w:left="360"/>
        <w:contextualSpacing/>
        <w:rPr>
          <w:u w:val="single"/>
        </w:rPr>
      </w:pPr>
      <w:r w:rsidRPr="00C714FB">
        <w:rPr>
          <w:u w:val="single"/>
        </w:rPr>
        <w:t>Next Step</w:t>
      </w:r>
      <w:r w:rsidR="001C5640" w:rsidRPr="00C714FB">
        <w:rPr>
          <w:u w:val="single"/>
        </w:rPr>
        <w:t>s</w:t>
      </w:r>
      <w:r w:rsidRPr="000C410F">
        <w:t>:</w:t>
      </w:r>
      <w:r>
        <w:t xml:space="preserve"> </w:t>
      </w:r>
      <w:r w:rsidR="00D63F1C">
        <w:t>The team is work</w:t>
      </w:r>
      <w:r w:rsidR="00C714FB">
        <w:t xml:space="preserve">ing on conceptual estimates, space requirements, and engineering plans for the recommendations.  </w:t>
      </w:r>
      <w:r>
        <w:t xml:space="preserve"> </w:t>
      </w:r>
      <w:r w:rsidR="00C714FB">
        <w:t xml:space="preserve">The plan is to present the consultant’s recommendations to the County Board during the March cycle assuming they are fully ready. If not, </w:t>
      </w:r>
      <w:r w:rsidR="00BF61D6">
        <w:t xml:space="preserve">the </w:t>
      </w:r>
      <w:r w:rsidR="00C714FB">
        <w:t>presentation could occur in May.</w:t>
      </w:r>
    </w:p>
    <w:p w14:paraId="78230A3B" w14:textId="77777777" w:rsidR="00E3492B" w:rsidRPr="009A21C3" w:rsidRDefault="00E3492B" w:rsidP="009A21C3">
      <w:pPr>
        <w:contextualSpacing/>
        <w:rPr>
          <w:u w:val="single"/>
        </w:rPr>
      </w:pPr>
    </w:p>
    <w:p w14:paraId="546CD1C0" w14:textId="2C4EEAAE" w:rsidR="00BD385D" w:rsidRDefault="00BD385D" w:rsidP="00BD385D">
      <w:pPr>
        <w:pStyle w:val="BlockText"/>
        <w:ind w:left="0" w:right="0"/>
        <w:rPr>
          <w:b/>
          <w:bCs/>
          <w:sz w:val="24"/>
          <w:szCs w:val="24"/>
        </w:rPr>
      </w:pPr>
      <w:r>
        <w:rPr>
          <w:b/>
          <w:bCs/>
          <w:sz w:val="24"/>
          <w:szCs w:val="24"/>
        </w:rPr>
        <w:t>CONTRACT TOOLBOX</w:t>
      </w:r>
      <w:r w:rsidR="00575E58">
        <w:rPr>
          <w:b/>
          <w:bCs/>
          <w:sz w:val="24"/>
          <w:szCs w:val="24"/>
        </w:rPr>
        <w:t xml:space="preserve"> - </w:t>
      </w:r>
      <w:r>
        <w:rPr>
          <w:b/>
          <w:bCs/>
          <w:sz w:val="24"/>
          <w:szCs w:val="24"/>
        </w:rPr>
        <w:t>TIME &amp; MATERIALS</w:t>
      </w:r>
      <w:r w:rsidR="00575E58">
        <w:rPr>
          <w:b/>
          <w:bCs/>
          <w:sz w:val="24"/>
          <w:szCs w:val="24"/>
        </w:rPr>
        <w:t xml:space="preserve"> (T&amp;M) VERSUS</w:t>
      </w:r>
      <w:r>
        <w:rPr>
          <w:b/>
          <w:bCs/>
          <w:sz w:val="24"/>
          <w:szCs w:val="24"/>
        </w:rPr>
        <w:t xml:space="preserve"> FIRM FIXED PRICE</w:t>
      </w:r>
      <w:r w:rsidR="00575E58">
        <w:rPr>
          <w:b/>
          <w:bCs/>
          <w:sz w:val="24"/>
          <w:szCs w:val="24"/>
        </w:rPr>
        <w:t xml:space="preserve"> (FFP)</w:t>
      </w:r>
    </w:p>
    <w:p w14:paraId="6DB7A1DE" w14:textId="77777777" w:rsidR="00BD385D" w:rsidRDefault="00BD385D" w:rsidP="00BD385D">
      <w:pPr>
        <w:pStyle w:val="BlockText"/>
        <w:ind w:left="0" w:right="0"/>
        <w:rPr>
          <w:sz w:val="24"/>
          <w:szCs w:val="24"/>
        </w:rPr>
      </w:pPr>
    </w:p>
    <w:p w14:paraId="50775CC1" w14:textId="10B23D54" w:rsidR="009759E8" w:rsidRDefault="009759E8" w:rsidP="00BD385D">
      <w:pPr>
        <w:pStyle w:val="BlockText"/>
        <w:ind w:left="0" w:right="0"/>
        <w:rPr>
          <w:rFonts w:eastAsia="Times New Roman"/>
          <w:sz w:val="24"/>
          <w:szCs w:val="24"/>
        </w:rPr>
      </w:pPr>
      <w:r>
        <w:rPr>
          <w:rFonts w:eastAsia="Times New Roman"/>
          <w:sz w:val="24"/>
          <w:szCs w:val="24"/>
        </w:rPr>
        <w:t xml:space="preserve">During the October 2015 committee cycle, Facilities Management Division was requested to provide an overview of </w:t>
      </w:r>
      <w:r w:rsidR="00B05EA0">
        <w:rPr>
          <w:rFonts w:eastAsia="Times New Roman"/>
          <w:sz w:val="24"/>
          <w:szCs w:val="24"/>
        </w:rPr>
        <w:t xml:space="preserve">common construction </w:t>
      </w:r>
      <w:r>
        <w:rPr>
          <w:rFonts w:eastAsia="Times New Roman"/>
          <w:sz w:val="24"/>
          <w:szCs w:val="24"/>
        </w:rPr>
        <w:t>contract types; specifically Time and Material and Firm Fixed Price contracts.</w:t>
      </w:r>
    </w:p>
    <w:p w14:paraId="5DBE019A" w14:textId="77777777" w:rsidR="009759E8" w:rsidRDefault="009759E8" w:rsidP="00BD385D">
      <w:pPr>
        <w:pStyle w:val="BlockText"/>
        <w:ind w:left="0" w:right="0"/>
        <w:rPr>
          <w:rFonts w:eastAsia="Times New Roman"/>
          <w:sz w:val="24"/>
          <w:szCs w:val="24"/>
        </w:rPr>
      </w:pPr>
    </w:p>
    <w:p w14:paraId="460AAF6B" w14:textId="4846A7A5" w:rsidR="00430C33" w:rsidRDefault="00430C33" w:rsidP="00BD385D">
      <w:pPr>
        <w:pStyle w:val="BlockText"/>
        <w:ind w:left="0" w:right="0"/>
        <w:rPr>
          <w:rFonts w:eastAsia="Times New Roman"/>
          <w:sz w:val="24"/>
          <w:szCs w:val="24"/>
        </w:rPr>
      </w:pPr>
      <w:r>
        <w:rPr>
          <w:rFonts w:eastAsia="Times New Roman"/>
          <w:sz w:val="24"/>
          <w:szCs w:val="24"/>
        </w:rPr>
        <w:t>There are hundreds of contract types in the acquisition community, these are two extremely common general types</w:t>
      </w:r>
      <w:r w:rsidR="00B05EA0">
        <w:rPr>
          <w:rFonts w:eastAsia="Times New Roman"/>
          <w:sz w:val="24"/>
          <w:szCs w:val="24"/>
        </w:rPr>
        <w:t xml:space="preserve"> that provide for a good overview</w:t>
      </w:r>
      <w:r>
        <w:rPr>
          <w:rFonts w:eastAsia="Times New Roman"/>
          <w:sz w:val="24"/>
          <w:szCs w:val="24"/>
        </w:rPr>
        <w:t>. Not all acquisitions should utilize the same contract type and having options available for the Government is always the best scenario. There is not a ‘one size fits all’ solution in Public Works contracting, but instead</w:t>
      </w:r>
      <w:r w:rsidR="00B05EA0">
        <w:rPr>
          <w:rFonts w:eastAsia="Times New Roman"/>
          <w:sz w:val="24"/>
          <w:szCs w:val="24"/>
        </w:rPr>
        <w:t xml:space="preserve"> the Project Managers should develop</w:t>
      </w:r>
      <w:r>
        <w:rPr>
          <w:rFonts w:eastAsia="Times New Roman"/>
          <w:sz w:val="24"/>
          <w:szCs w:val="24"/>
        </w:rPr>
        <w:t xml:space="preserve"> a scenario-based acquisition plan </w:t>
      </w:r>
      <w:r w:rsidR="00B05EA0">
        <w:rPr>
          <w:rFonts w:eastAsia="Times New Roman"/>
          <w:sz w:val="24"/>
          <w:szCs w:val="24"/>
        </w:rPr>
        <w:t>to maximize the desired effect of the contract</w:t>
      </w:r>
      <w:r>
        <w:rPr>
          <w:rFonts w:eastAsia="Times New Roman"/>
          <w:sz w:val="24"/>
          <w:szCs w:val="24"/>
        </w:rPr>
        <w:t xml:space="preserve">. </w:t>
      </w:r>
    </w:p>
    <w:p w14:paraId="2FD443C8" w14:textId="77777777" w:rsidR="00430C33" w:rsidRDefault="00430C33" w:rsidP="00BD385D">
      <w:pPr>
        <w:pStyle w:val="BlockText"/>
        <w:ind w:left="0" w:right="0"/>
        <w:rPr>
          <w:rFonts w:eastAsia="Times New Roman"/>
          <w:sz w:val="24"/>
          <w:szCs w:val="24"/>
        </w:rPr>
      </w:pPr>
    </w:p>
    <w:p w14:paraId="4F315D00" w14:textId="0A3A50EC" w:rsidR="009759E8" w:rsidRDefault="00430C33" w:rsidP="00BD385D">
      <w:pPr>
        <w:pStyle w:val="BlockText"/>
        <w:ind w:left="0" w:right="0"/>
        <w:rPr>
          <w:rFonts w:eastAsia="Times New Roman"/>
          <w:sz w:val="24"/>
          <w:szCs w:val="24"/>
        </w:rPr>
      </w:pPr>
      <w:r>
        <w:rPr>
          <w:rFonts w:eastAsia="Times New Roman"/>
          <w:sz w:val="24"/>
          <w:szCs w:val="24"/>
        </w:rPr>
        <w:t xml:space="preserve">In some cases the </w:t>
      </w:r>
      <w:r w:rsidR="00595C67">
        <w:rPr>
          <w:rFonts w:eastAsia="Times New Roman"/>
          <w:sz w:val="24"/>
          <w:szCs w:val="24"/>
        </w:rPr>
        <w:t xml:space="preserve">project’s </w:t>
      </w:r>
      <w:r>
        <w:rPr>
          <w:rFonts w:eastAsia="Times New Roman"/>
          <w:sz w:val="24"/>
          <w:szCs w:val="24"/>
        </w:rPr>
        <w:t xml:space="preserve">urgency does not allow for full scope development, while in others, the Government is fully aware of what it requires and has produced extensive specifications. These two simplified scenarios can lead to very different acquisition plans.   </w:t>
      </w:r>
    </w:p>
    <w:p w14:paraId="2F908696" w14:textId="77777777" w:rsidR="009759E8" w:rsidRDefault="009759E8" w:rsidP="00BD385D">
      <w:pPr>
        <w:pStyle w:val="BlockText"/>
        <w:ind w:left="0" w:right="0"/>
        <w:rPr>
          <w:rFonts w:eastAsia="Times New Roman"/>
          <w:sz w:val="24"/>
          <w:szCs w:val="24"/>
        </w:rPr>
      </w:pPr>
    </w:p>
    <w:p w14:paraId="75ACE670" w14:textId="1543DC2A" w:rsidR="00430C33" w:rsidRDefault="000665EF" w:rsidP="00BD385D">
      <w:pPr>
        <w:pStyle w:val="BlockText"/>
        <w:ind w:left="0" w:right="0"/>
        <w:rPr>
          <w:rFonts w:eastAsia="Times New Roman"/>
          <w:sz w:val="24"/>
          <w:szCs w:val="24"/>
        </w:rPr>
      </w:pPr>
      <w:r>
        <w:rPr>
          <w:rFonts w:eastAsia="Times New Roman"/>
          <w:sz w:val="24"/>
          <w:szCs w:val="24"/>
        </w:rPr>
        <w:t xml:space="preserve">When discussing </w:t>
      </w:r>
      <w:r w:rsidR="00575E58">
        <w:rPr>
          <w:rFonts w:eastAsia="Times New Roman"/>
          <w:sz w:val="24"/>
          <w:szCs w:val="24"/>
        </w:rPr>
        <w:t>the contract toolbox, facilities is describing any and all tools available to acquire public works products and services.  It can be viewed as a menu of options to best accompli</w:t>
      </w:r>
      <w:r w:rsidR="00430C33">
        <w:rPr>
          <w:rFonts w:eastAsia="Times New Roman"/>
          <w:sz w:val="24"/>
          <w:szCs w:val="24"/>
        </w:rPr>
        <w:t xml:space="preserve">sh the task within regulations, but </w:t>
      </w:r>
      <w:r w:rsidR="00575E58">
        <w:rPr>
          <w:rFonts w:eastAsia="Times New Roman"/>
          <w:sz w:val="24"/>
          <w:szCs w:val="24"/>
        </w:rPr>
        <w:t xml:space="preserve">not all work must be accomplished by the same contract type. </w:t>
      </w:r>
      <w:r w:rsidR="00430C33">
        <w:rPr>
          <w:rFonts w:eastAsia="Times New Roman"/>
          <w:sz w:val="24"/>
          <w:szCs w:val="24"/>
        </w:rPr>
        <w:t>Facilities Management Division is currently working with all Departments to develop the County’s facilities contracting toolbox in order to better manage quality, cost, and schedule complexities.</w:t>
      </w:r>
    </w:p>
    <w:p w14:paraId="3718AF5F" w14:textId="77777777" w:rsidR="00430C33" w:rsidRDefault="00430C33" w:rsidP="00BD385D">
      <w:pPr>
        <w:pStyle w:val="BlockText"/>
        <w:ind w:left="0" w:right="0"/>
        <w:rPr>
          <w:rFonts w:eastAsia="Times New Roman"/>
          <w:sz w:val="24"/>
          <w:szCs w:val="24"/>
        </w:rPr>
      </w:pPr>
    </w:p>
    <w:p w14:paraId="7585D4A3" w14:textId="396F9626" w:rsidR="00BD385D" w:rsidRPr="00BD385D" w:rsidRDefault="00FF3460" w:rsidP="00BD385D">
      <w:pPr>
        <w:pStyle w:val="BlockText"/>
        <w:ind w:left="0" w:right="0"/>
        <w:rPr>
          <w:rFonts w:eastAsia="Times New Roman"/>
          <w:sz w:val="24"/>
          <w:szCs w:val="24"/>
        </w:rPr>
      </w:pPr>
      <w:r>
        <w:rPr>
          <w:rFonts w:eastAsia="Times New Roman"/>
          <w:sz w:val="24"/>
          <w:szCs w:val="24"/>
        </w:rPr>
        <w:t xml:space="preserve">An overview of statutory requirements and the two most common contract types is provided below. </w:t>
      </w:r>
      <w:r w:rsidR="00575E58">
        <w:rPr>
          <w:rFonts w:eastAsia="Times New Roman"/>
          <w:sz w:val="24"/>
          <w:szCs w:val="24"/>
        </w:rPr>
        <w:t>Descriptions are provided from the Federal Acquisition Regulation (FAR) a</w:t>
      </w:r>
      <w:r w:rsidR="003F0599">
        <w:rPr>
          <w:rFonts w:eastAsia="Times New Roman"/>
          <w:sz w:val="24"/>
          <w:szCs w:val="24"/>
        </w:rPr>
        <w:t>s an industry accepted resource.</w:t>
      </w:r>
    </w:p>
    <w:p w14:paraId="700C022F" w14:textId="77777777" w:rsidR="00BD385D" w:rsidRDefault="00BD385D">
      <w:pPr>
        <w:pStyle w:val="BlockText"/>
        <w:ind w:left="0" w:right="0"/>
        <w:rPr>
          <w:b/>
          <w:bCs/>
          <w:sz w:val="24"/>
          <w:szCs w:val="24"/>
        </w:rPr>
      </w:pPr>
    </w:p>
    <w:p w14:paraId="29797424" w14:textId="4C40128E" w:rsidR="000665EF" w:rsidRPr="00BD385D" w:rsidRDefault="003F0599" w:rsidP="000665EF">
      <w:pPr>
        <w:pStyle w:val="BlockText"/>
        <w:ind w:left="720"/>
        <w:rPr>
          <w:bCs/>
          <w:u w:val="single"/>
          <w:lang w:val="en"/>
        </w:rPr>
      </w:pPr>
      <w:r>
        <w:rPr>
          <w:bCs/>
          <w:u w:val="single"/>
          <w:lang w:val="en"/>
        </w:rPr>
        <w:t xml:space="preserve">Wisconsin </w:t>
      </w:r>
      <w:r w:rsidR="000665EF">
        <w:rPr>
          <w:bCs/>
          <w:u w:val="single"/>
          <w:lang w:val="en"/>
        </w:rPr>
        <w:t>Statutory Requirements (Chapter 66, Subpart IX, Public Works and Projects)</w:t>
      </w:r>
      <w:r w:rsidR="000665EF" w:rsidRPr="00BD385D">
        <w:rPr>
          <w:bCs/>
          <w:u w:val="single"/>
          <w:lang w:val="en"/>
        </w:rPr>
        <w:t>:</w:t>
      </w:r>
    </w:p>
    <w:p w14:paraId="079CE7E8" w14:textId="77777777" w:rsidR="000665EF" w:rsidRDefault="000665EF">
      <w:pPr>
        <w:pStyle w:val="BlockText"/>
        <w:ind w:left="0" w:right="0"/>
        <w:rPr>
          <w:b/>
          <w:bCs/>
          <w:sz w:val="24"/>
          <w:szCs w:val="24"/>
        </w:rPr>
      </w:pPr>
    </w:p>
    <w:p w14:paraId="38D8B4AC" w14:textId="183A2CF3" w:rsidR="000665EF" w:rsidRPr="000665EF" w:rsidRDefault="000665EF" w:rsidP="000665EF">
      <w:pPr>
        <w:pStyle w:val="BlockText"/>
        <w:ind w:left="720" w:right="0"/>
        <w:rPr>
          <w:bCs/>
          <w:lang w:val="en"/>
        </w:rPr>
      </w:pPr>
      <w:r w:rsidRPr="000665EF">
        <w:rPr>
          <w:bCs/>
          <w:lang w:val="en"/>
        </w:rPr>
        <w:t>(1m)</w:t>
      </w:r>
      <w:r w:rsidRPr="000665EF">
        <w:rPr>
          <w:bCs/>
          <w:lang w:val="en"/>
        </w:rPr>
        <w:t> </w:t>
      </w:r>
      <w:r w:rsidRPr="000665EF">
        <w:rPr>
          <w:bCs/>
          <w:lang w:val="en"/>
        </w:rPr>
        <w:t>Method of bidding.</w:t>
      </w:r>
    </w:p>
    <w:p w14:paraId="6C97F5DC" w14:textId="77777777" w:rsidR="000665EF" w:rsidRPr="000665EF" w:rsidRDefault="00B511DC" w:rsidP="000665EF">
      <w:pPr>
        <w:pStyle w:val="BlockText"/>
        <w:ind w:left="1080" w:right="0"/>
        <w:rPr>
          <w:bCs/>
          <w:lang w:val="en"/>
        </w:rPr>
      </w:pPr>
      <w:hyperlink r:id="rId11" w:history="1">
        <w:r w:rsidR="000665EF" w:rsidRPr="000665EF">
          <w:rPr>
            <w:rStyle w:val="Hyperlink"/>
            <w:bCs/>
            <w:vanish/>
            <w:lang w:val="en"/>
          </w:rPr>
          <w:t>66.0901(1m)(a)</w:t>
        </w:r>
      </w:hyperlink>
      <w:r w:rsidR="000665EF" w:rsidRPr="000665EF">
        <w:rPr>
          <w:bCs/>
          <w:lang w:val="en"/>
        </w:rPr>
        <w:t xml:space="preserve">(a) Except when necessary to secure federal aid, whenever a political subdivision lets a public contract by bidding, the political subdivision shall comply with all of the following: </w:t>
      </w:r>
    </w:p>
    <w:p w14:paraId="1CBFEEC9" w14:textId="04AFB6C9" w:rsidR="000665EF" w:rsidRPr="000665EF" w:rsidRDefault="00B511DC" w:rsidP="000665EF">
      <w:pPr>
        <w:pStyle w:val="BlockText"/>
        <w:ind w:left="1440" w:right="0"/>
        <w:rPr>
          <w:bCs/>
          <w:lang w:val="en"/>
        </w:rPr>
      </w:pPr>
      <w:hyperlink r:id="rId12" w:history="1">
        <w:r w:rsidR="000665EF" w:rsidRPr="000665EF">
          <w:rPr>
            <w:rStyle w:val="Hyperlink"/>
            <w:bCs/>
            <w:vanish/>
            <w:lang w:val="en"/>
          </w:rPr>
          <w:t>66.0901(1m)(a)1.</w:t>
        </w:r>
      </w:hyperlink>
      <w:r w:rsidR="000665EF" w:rsidRPr="000665EF">
        <w:rPr>
          <w:bCs/>
          <w:lang w:val="en"/>
        </w:rPr>
        <w:t xml:space="preserve"> </w:t>
      </w:r>
      <w:bookmarkStart w:id="0" w:name="_GoBack"/>
      <w:bookmarkEnd w:id="0"/>
      <w:r w:rsidR="000665EF" w:rsidRPr="000665EF">
        <w:rPr>
          <w:bCs/>
          <w:lang w:val="en"/>
        </w:rPr>
        <w:t xml:space="preserve">1. The bidding shall be on the basis of </w:t>
      </w:r>
      <w:r w:rsidR="000665EF" w:rsidRPr="000665EF">
        <w:rPr>
          <w:b/>
          <w:bCs/>
          <w:lang w:val="en"/>
        </w:rPr>
        <w:t>sealed competitive bids.</w:t>
      </w:r>
      <w:r w:rsidR="000665EF" w:rsidRPr="000665EF">
        <w:rPr>
          <w:bCs/>
          <w:lang w:val="en"/>
        </w:rPr>
        <w:t xml:space="preserve"> </w:t>
      </w:r>
      <w:r w:rsidR="003F0599">
        <w:rPr>
          <w:bCs/>
          <w:lang w:val="en"/>
        </w:rPr>
        <w:tab/>
        <w:t>[Versus Contracting by Negotiation]</w:t>
      </w:r>
    </w:p>
    <w:p w14:paraId="0A386439" w14:textId="04342093" w:rsidR="000665EF" w:rsidRPr="000665EF" w:rsidRDefault="00B511DC" w:rsidP="000665EF">
      <w:pPr>
        <w:pStyle w:val="BlockText"/>
        <w:ind w:left="1440" w:right="0"/>
        <w:rPr>
          <w:bCs/>
          <w:lang w:val="en"/>
        </w:rPr>
      </w:pPr>
      <w:hyperlink r:id="rId13" w:history="1">
        <w:r w:rsidR="000665EF" w:rsidRPr="000665EF">
          <w:rPr>
            <w:rStyle w:val="Hyperlink"/>
            <w:bCs/>
            <w:vanish/>
            <w:lang w:val="en"/>
          </w:rPr>
          <w:t>66.0901(1m)(a)2.</w:t>
        </w:r>
      </w:hyperlink>
      <w:r w:rsidR="000665EF" w:rsidRPr="000665EF">
        <w:rPr>
          <w:bCs/>
          <w:lang w:val="en"/>
        </w:rPr>
        <w:t xml:space="preserve"> 2. The contract shall be awarded to the </w:t>
      </w:r>
      <w:r w:rsidR="000665EF" w:rsidRPr="000665EF">
        <w:rPr>
          <w:b/>
          <w:bCs/>
          <w:lang w:val="en"/>
        </w:rPr>
        <w:t>lowest responsible bidder</w:t>
      </w:r>
      <w:r w:rsidR="000665EF" w:rsidRPr="000665EF">
        <w:rPr>
          <w:bCs/>
          <w:lang w:val="en"/>
        </w:rPr>
        <w:t xml:space="preserve">. </w:t>
      </w:r>
      <w:r w:rsidR="003F0599">
        <w:rPr>
          <w:bCs/>
          <w:lang w:val="en"/>
        </w:rPr>
        <w:tab/>
        <w:t>[Versus Best Value Trade-Off]</w:t>
      </w:r>
    </w:p>
    <w:p w14:paraId="306991F6" w14:textId="77777777" w:rsidR="000665EF" w:rsidRPr="000665EF" w:rsidRDefault="00B511DC" w:rsidP="000665EF">
      <w:pPr>
        <w:pStyle w:val="BlockText"/>
        <w:ind w:left="1080" w:right="0"/>
        <w:rPr>
          <w:bCs/>
          <w:lang w:val="en"/>
        </w:rPr>
      </w:pPr>
      <w:hyperlink r:id="rId14" w:history="1">
        <w:r w:rsidR="000665EF" w:rsidRPr="000665EF">
          <w:rPr>
            <w:rStyle w:val="Hyperlink"/>
            <w:bCs/>
            <w:vanish/>
            <w:lang w:val="en"/>
          </w:rPr>
          <w:t>66.0901(1m)(b)</w:t>
        </w:r>
      </w:hyperlink>
      <w:r w:rsidR="000665EF" w:rsidRPr="000665EF">
        <w:rPr>
          <w:bCs/>
          <w:lang w:val="en"/>
        </w:rPr>
        <w:t xml:space="preserve"> (b) Except when necessary to secure federal aid, a political subdivision may not use a bidding method that gives preference based on the geographic location of the bidder or that uses criteria other than the lowest responsible bidder in awarding a contract. </w:t>
      </w:r>
    </w:p>
    <w:p w14:paraId="72F218DB" w14:textId="77777777" w:rsidR="000665EF" w:rsidRDefault="000665EF">
      <w:pPr>
        <w:pStyle w:val="BlockText"/>
        <w:ind w:left="0" w:right="0"/>
        <w:rPr>
          <w:b/>
          <w:bCs/>
          <w:sz w:val="24"/>
          <w:szCs w:val="24"/>
        </w:rPr>
      </w:pPr>
    </w:p>
    <w:p w14:paraId="01F46A04" w14:textId="773AE8B2" w:rsidR="00BD385D" w:rsidRDefault="00BD385D" w:rsidP="000665EF">
      <w:pPr>
        <w:pStyle w:val="BlockText"/>
        <w:ind w:left="720"/>
        <w:rPr>
          <w:bCs/>
          <w:u w:val="single"/>
          <w:lang w:val="en"/>
        </w:rPr>
      </w:pPr>
      <w:r w:rsidRPr="00BD385D">
        <w:rPr>
          <w:bCs/>
          <w:u w:val="single"/>
          <w:lang w:val="en"/>
        </w:rPr>
        <w:t>Definitions and Applications from Feder</w:t>
      </w:r>
      <w:r w:rsidR="003F0599">
        <w:rPr>
          <w:bCs/>
          <w:u w:val="single"/>
          <w:lang w:val="en"/>
        </w:rPr>
        <w:t xml:space="preserve">al Acquisition Regulation </w:t>
      </w:r>
      <w:r w:rsidRPr="00BD385D">
        <w:rPr>
          <w:bCs/>
          <w:u w:val="single"/>
          <w:lang w:val="en"/>
        </w:rPr>
        <w:t>on Acquisition.gov:</w:t>
      </w:r>
    </w:p>
    <w:p w14:paraId="2507335F" w14:textId="77777777" w:rsidR="001B2EE6" w:rsidRDefault="001B2EE6" w:rsidP="000665EF">
      <w:pPr>
        <w:pStyle w:val="BlockText"/>
        <w:ind w:left="720"/>
        <w:rPr>
          <w:b/>
          <w:bCs/>
          <w:lang w:val="en"/>
        </w:rPr>
      </w:pPr>
    </w:p>
    <w:p w14:paraId="46FC314A" w14:textId="010767DB" w:rsidR="000665EF" w:rsidRPr="000665EF" w:rsidRDefault="000665EF" w:rsidP="000665EF">
      <w:pPr>
        <w:pStyle w:val="BlockText"/>
        <w:ind w:left="720"/>
        <w:rPr>
          <w:b/>
          <w:bCs/>
          <w:lang w:val="en"/>
        </w:rPr>
      </w:pPr>
      <w:r w:rsidRPr="000665EF">
        <w:rPr>
          <w:b/>
          <w:bCs/>
          <w:lang w:val="en"/>
        </w:rPr>
        <w:t>TIME-AND-MATERIAL CONTRACTS</w:t>
      </w:r>
    </w:p>
    <w:p w14:paraId="53FBCD75" w14:textId="77777777" w:rsidR="000665EF" w:rsidRPr="00BD385D" w:rsidRDefault="000665EF" w:rsidP="000665EF">
      <w:pPr>
        <w:pStyle w:val="BlockText"/>
        <w:ind w:left="720"/>
        <w:rPr>
          <w:bCs/>
          <w:lang w:val="en"/>
        </w:rPr>
      </w:pPr>
    </w:p>
    <w:p w14:paraId="49B137FE" w14:textId="77777777" w:rsidR="00BD385D" w:rsidRPr="00BD385D" w:rsidRDefault="00BD385D" w:rsidP="000665EF">
      <w:pPr>
        <w:pStyle w:val="BlockText"/>
        <w:ind w:left="720"/>
        <w:rPr>
          <w:bCs/>
          <w:lang w:val="en"/>
        </w:rPr>
      </w:pPr>
      <w:r w:rsidRPr="00BD385D">
        <w:rPr>
          <w:bCs/>
          <w:lang w:val="en"/>
        </w:rPr>
        <w:t xml:space="preserve">(b) Description. A time-and-materials contract provides for acquiring supplies or services on the basis of— </w:t>
      </w:r>
    </w:p>
    <w:p w14:paraId="2EBDD707" w14:textId="77777777" w:rsidR="00BD385D" w:rsidRPr="00BD385D" w:rsidRDefault="00BD385D" w:rsidP="000665EF">
      <w:pPr>
        <w:pStyle w:val="BlockText"/>
        <w:ind w:left="1080"/>
        <w:rPr>
          <w:bCs/>
          <w:lang w:val="en"/>
        </w:rPr>
      </w:pPr>
      <w:bookmarkStart w:id="1" w:name="wp1081490"/>
      <w:bookmarkEnd w:id="1"/>
      <w:r w:rsidRPr="00BD385D">
        <w:rPr>
          <w:bCs/>
          <w:lang w:val="en"/>
        </w:rPr>
        <w:t>(1) Direct labor hours at specified fixed hourly rates that include wages, overhead, general and administrative expenses, and profit; and</w:t>
      </w:r>
    </w:p>
    <w:p w14:paraId="43EEF385" w14:textId="77777777" w:rsidR="00BD385D" w:rsidRPr="00BD385D" w:rsidRDefault="00BD385D" w:rsidP="000665EF">
      <w:pPr>
        <w:pStyle w:val="BlockText"/>
        <w:ind w:left="1080"/>
        <w:rPr>
          <w:bCs/>
          <w:lang w:val="en"/>
        </w:rPr>
      </w:pPr>
      <w:bookmarkStart w:id="2" w:name="wp1082203"/>
      <w:bookmarkEnd w:id="2"/>
      <w:r w:rsidRPr="00BD385D">
        <w:rPr>
          <w:bCs/>
          <w:lang w:val="en"/>
        </w:rPr>
        <w:t xml:space="preserve">(2) Actual cost for materials (except as provided for in </w:t>
      </w:r>
      <w:hyperlink r:id="rId15" w:anchor="wp1095981" w:history="1">
        <w:r w:rsidRPr="00BD385D">
          <w:rPr>
            <w:rStyle w:val="Hyperlink"/>
            <w:bCs/>
            <w:lang w:val="en"/>
          </w:rPr>
          <w:t>31.205-26</w:t>
        </w:r>
      </w:hyperlink>
      <w:r w:rsidRPr="00BD385D">
        <w:rPr>
          <w:bCs/>
          <w:lang w:val="en"/>
        </w:rPr>
        <w:t xml:space="preserve">(e) and (f)). </w:t>
      </w:r>
    </w:p>
    <w:p w14:paraId="11E7BAC2" w14:textId="77777777" w:rsidR="00BD385D" w:rsidRPr="00BD385D" w:rsidRDefault="00BD385D" w:rsidP="000665EF">
      <w:pPr>
        <w:pStyle w:val="BlockText"/>
        <w:ind w:left="720"/>
        <w:rPr>
          <w:bCs/>
          <w:lang w:val="en"/>
        </w:rPr>
      </w:pPr>
    </w:p>
    <w:p w14:paraId="6B23FC7F" w14:textId="52A4A8AC" w:rsidR="00BD385D" w:rsidRPr="00BD385D" w:rsidRDefault="00BD385D" w:rsidP="000665EF">
      <w:pPr>
        <w:pStyle w:val="BlockText"/>
        <w:ind w:left="720"/>
        <w:rPr>
          <w:bCs/>
          <w:lang w:val="en"/>
        </w:rPr>
      </w:pPr>
      <w:r w:rsidRPr="00BD385D">
        <w:rPr>
          <w:bCs/>
          <w:lang w:val="en"/>
        </w:rPr>
        <w:t xml:space="preserve">(c) Application. A time-and-materials contract </w:t>
      </w:r>
      <w:r w:rsidRPr="003F0599">
        <w:rPr>
          <w:b/>
          <w:bCs/>
          <w:lang w:val="en"/>
        </w:rPr>
        <w:t>may be used only when it is not possible at the time of placing the contract to estimate accurately the extent or duration of the work or to anticipate costs with any reasonable degree of confidence.</w:t>
      </w:r>
      <w:r w:rsidRPr="00BD385D">
        <w:rPr>
          <w:bCs/>
          <w:lang w:val="en"/>
        </w:rPr>
        <w:t xml:space="preserve"> See </w:t>
      </w:r>
      <w:hyperlink r:id="rId16" w:anchor="wp1087410" w:history="1">
        <w:r w:rsidRPr="00BD385D">
          <w:rPr>
            <w:rStyle w:val="Hyperlink"/>
            <w:bCs/>
            <w:lang w:val="en"/>
          </w:rPr>
          <w:t>12.207</w:t>
        </w:r>
      </w:hyperlink>
      <w:r w:rsidRPr="00BD385D">
        <w:rPr>
          <w:bCs/>
          <w:lang w:val="en"/>
        </w:rPr>
        <w:t xml:space="preserve">(b) for the use of time-and-material contracts for certain commercial services. </w:t>
      </w:r>
    </w:p>
    <w:p w14:paraId="5E9A88B9" w14:textId="77777777" w:rsidR="00BD385D" w:rsidRPr="00BD385D" w:rsidRDefault="00BD385D" w:rsidP="000665EF">
      <w:pPr>
        <w:pStyle w:val="BlockText"/>
        <w:ind w:left="1170"/>
        <w:rPr>
          <w:bCs/>
          <w:lang w:val="en"/>
        </w:rPr>
      </w:pPr>
      <w:bookmarkStart w:id="3" w:name="wp1081493"/>
      <w:bookmarkEnd w:id="3"/>
      <w:r w:rsidRPr="00BD385D">
        <w:rPr>
          <w:bCs/>
          <w:lang w:val="en"/>
        </w:rPr>
        <w:t xml:space="preserve">(1) Government surveillance. A time-and-materials contract </w:t>
      </w:r>
      <w:r w:rsidRPr="000665EF">
        <w:rPr>
          <w:b/>
          <w:bCs/>
          <w:lang w:val="en"/>
        </w:rPr>
        <w:t>provides no positive profit incentive to the contractor for cost control or labor efficiency.</w:t>
      </w:r>
      <w:r w:rsidRPr="00BD385D">
        <w:rPr>
          <w:bCs/>
          <w:lang w:val="en"/>
        </w:rPr>
        <w:t xml:space="preserve"> Therefore, </w:t>
      </w:r>
      <w:r w:rsidRPr="000665EF">
        <w:rPr>
          <w:b/>
          <w:bCs/>
          <w:lang w:val="en"/>
        </w:rPr>
        <w:t>appropriate Government surveillance of contractor performance is required</w:t>
      </w:r>
      <w:r w:rsidRPr="00BD385D">
        <w:rPr>
          <w:bCs/>
          <w:lang w:val="en"/>
        </w:rPr>
        <w:t xml:space="preserve"> to give reasonable assurance that efficient methods and effective cost controls are being used. </w:t>
      </w:r>
    </w:p>
    <w:p w14:paraId="31C53F93" w14:textId="77777777" w:rsidR="00BD385D" w:rsidRDefault="00BD385D" w:rsidP="000665EF">
      <w:pPr>
        <w:pStyle w:val="BlockText"/>
        <w:ind w:left="720" w:right="0"/>
        <w:rPr>
          <w:bCs/>
          <w:sz w:val="24"/>
          <w:szCs w:val="24"/>
        </w:rPr>
      </w:pPr>
    </w:p>
    <w:p w14:paraId="1AA421AB" w14:textId="77777777" w:rsidR="00481FAF" w:rsidRDefault="00481FAF" w:rsidP="000665EF">
      <w:pPr>
        <w:pStyle w:val="BlockText"/>
        <w:ind w:left="720" w:right="0"/>
        <w:rPr>
          <w:bCs/>
          <w:sz w:val="24"/>
          <w:szCs w:val="24"/>
        </w:rPr>
      </w:pPr>
    </w:p>
    <w:p w14:paraId="1066C476" w14:textId="77777777" w:rsidR="00575E58" w:rsidRPr="00575E58" w:rsidRDefault="00575E58" w:rsidP="00575E58">
      <w:pPr>
        <w:pStyle w:val="BlockText"/>
        <w:ind w:left="720"/>
        <w:rPr>
          <w:bCs/>
          <w:lang w:val="en"/>
        </w:rPr>
      </w:pPr>
      <w:r w:rsidRPr="00575E58">
        <w:rPr>
          <w:bCs/>
          <w:lang w:val="en"/>
        </w:rPr>
        <w:lastRenderedPageBreak/>
        <w:t xml:space="preserve">(d) Limitations. A time-and-materials contract or order may be used only if— </w:t>
      </w:r>
    </w:p>
    <w:p w14:paraId="79234C70" w14:textId="4602B5FA" w:rsidR="00575E58" w:rsidRPr="00575E58" w:rsidRDefault="00575E58" w:rsidP="00575E58">
      <w:pPr>
        <w:pStyle w:val="BlockText"/>
        <w:ind w:left="720"/>
        <w:rPr>
          <w:bCs/>
          <w:lang w:val="en"/>
        </w:rPr>
      </w:pPr>
      <w:bookmarkStart w:id="4" w:name="wp1081974"/>
      <w:bookmarkEnd w:id="4"/>
      <w:r w:rsidRPr="00575E58">
        <w:rPr>
          <w:bCs/>
          <w:lang w:val="en"/>
        </w:rPr>
        <w:t xml:space="preserve">(1) The contracting officer prepares a determination and findings that </w:t>
      </w:r>
      <w:r w:rsidRPr="00575E58">
        <w:rPr>
          <w:b/>
          <w:bCs/>
          <w:lang w:val="en"/>
        </w:rPr>
        <w:t>no other contract type is suitable.</w:t>
      </w:r>
      <w:r w:rsidRPr="00575E58">
        <w:rPr>
          <w:bCs/>
          <w:lang w:val="en"/>
        </w:rPr>
        <w:t xml:space="preserve"> </w:t>
      </w:r>
    </w:p>
    <w:p w14:paraId="5A38682F" w14:textId="0D861D26" w:rsidR="00575E58" w:rsidRPr="00575E58" w:rsidRDefault="00575E58" w:rsidP="00575E58">
      <w:pPr>
        <w:pStyle w:val="BlockText"/>
        <w:ind w:left="720"/>
        <w:rPr>
          <w:bCs/>
          <w:lang w:val="en"/>
        </w:rPr>
      </w:pPr>
      <w:bookmarkStart w:id="5" w:name="wp1082552"/>
      <w:bookmarkEnd w:id="5"/>
      <w:r w:rsidRPr="00575E58">
        <w:rPr>
          <w:bCs/>
          <w:lang w:val="en"/>
        </w:rPr>
        <w:t xml:space="preserve">(2) The contract or order </w:t>
      </w:r>
      <w:r w:rsidRPr="00575E58">
        <w:rPr>
          <w:b/>
          <w:bCs/>
          <w:lang w:val="en"/>
        </w:rPr>
        <w:t>includes a ceiling price</w:t>
      </w:r>
      <w:r w:rsidRPr="00575E58">
        <w:rPr>
          <w:bCs/>
          <w:lang w:val="en"/>
        </w:rPr>
        <w:t xml:space="preserve"> that the cont</w:t>
      </w:r>
      <w:r>
        <w:rPr>
          <w:bCs/>
          <w:lang w:val="en"/>
        </w:rPr>
        <w:t>ractor exceeds at its own risk.</w:t>
      </w:r>
    </w:p>
    <w:p w14:paraId="4EA73304" w14:textId="77777777" w:rsidR="00575E58" w:rsidRDefault="00575E58" w:rsidP="000665EF">
      <w:pPr>
        <w:pStyle w:val="BlockText"/>
        <w:ind w:left="720" w:right="0"/>
        <w:rPr>
          <w:bCs/>
          <w:sz w:val="24"/>
          <w:szCs w:val="24"/>
        </w:rPr>
      </w:pPr>
    </w:p>
    <w:p w14:paraId="3BA5C185" w14:textId="41F9537F" w:rsidR="000665EF" w:rsidRPr="000665EF" w:rsidRDefault="000665EF" w:rsidP="000665EF">
      <w:pPr>
        <w:pStyle w:val="BlockText"/>
        <w:ind w:left="720"/>
        <w:rPr>
          <w:b/>
          <w:bCs/>
          <w:lang w:val="en"/>
        </w:rPr>
      </w:pPr>
      <w:r>
        <w:rPr>
          <w:b/>
          <w:bCs/>
          <w:lang w:val="en"/>
        </w:rPr>
        <w:t>FIRM-FIXED-PRICE</w:t>
      </w:r>
      <w:r w:rsidRPr="000665EF">
        <w:rPr>
          <w:b/>
          <w:bCs/>
          <w:lang w:val="en"/>
        </w:rPr>
        <w:t xml:space="preserve"> CONTRACTS</w:t>
      </w:r>
    </w:p>
    <w:p w14:paraId="55C32D17" w14:textId="77777777" w:rsidR="000665EF" w:rsidRPr="00BD385D" w:rsidRDefault="000665EF" w:rsidP="000665EF">
      <w:pPr>
        <w:pStyle w:val="BlockText"/>
        <w:ind w:left="720" w:right="0"/>
        <w:rPr>
          <w:bCs/>
          <w:sz w:val="24"/>
          <w:szCs w:val="24"/>
        </w:rPr>
      </w:pPr>
    </w:p>
    <w:p w14:paraId="61EA0EBB" w14:textId="77777777" w:rsidR="00BD385D" w:rsidRPr="00BD385D" w:rsidRDefault="00BD385D" w:rsidP="000665EF">
      <w:pPr>
        <w:pStyle w:val="BlockText"/>
        <w:ind w:left="720"/>
        <w:rPr>
          <w:bCs/>
          <w:lang w:val="en"/>
        </w:rPr>
      </w:pPr>
      <w:r w:rsidRPr="00BD385D">
        <w:rPr>
          <w:bCs/>
          <w:lang w:val="en"/>
        </w:rPr>
        <w:t>16.202-1 Description.</w:t>
      </w:r>
    </w:p>
    <w:p w14:paraId="6B43FF83" w14:textId="77777777" w:rsidR="00BD385D" w:rsidRPr="00BD385D" w:rsidRDefault="00BD385D" w:rsidP="000665EF">
      <w:pPr>
        <w:pStyle w:val="BlockText"/>
        <w:ind w:left="720"/>
        <w:rPr>
          <w:bCs/>
          <w:lang w:val="en"/>
        </w:rPr>
      </w:pPr>
      <w:bookmarkStart w:id="6" w:name="wp1091109"/>
      <w:bookmarkEnd w:id="6"/>
      <w:r w:rsidRPr="00BD385D">
        <w:rPr>
          <w:bCs/>
          <w:lang w:val="en"/>
        </w:rPr>
        <w:t xml:space="preserve">A firm-fixed-price contract provides for a price that is not subject to any adjustment on the basis of the contractor’s cost experience in performing the contract. This contract type places upon the contractor maximum risk and full responsibility for all costs and resulting profit or loss. </w:t>
      </w:r>
      <w:r w:rsidRPr="000665EF">
        <w:rPr>
          <w:b/>
          <w:bCs/>
          <w:lang w:val="en"/>
        </w:rPr>
        <w:t>It provides maximum incentive for the contractor to control costs and perform effectively and imposes a minimum administrative burden upon the contracting parties.</w:t>
      </w:r>
      <w:r w:rsidRPr="00BD385D">
        <w:rPr>
          <w:bCs/>
          <w:lang w:val="en"/>
        </w:rPr>
        <w:t xml:space="preserve"> The contracting officer may use a firm-fixed-price contract in conjunction with an award-fee incentive (see </w:t>
      </w:r>
      <w:hyperlink r:id="rId17" w:anchor="wp1078278" w:history="1">
        <w:r w:rsidRPr="00BD385D">
          <w:rPr>
            <w:rStyle w:val="Hyperlink"/>
            <w:bCs/>
            <w:lang w:val="en"/>
          </w:rPr>
          <w:t>16.404</w:t>
        </w:r>
      </w:hyperlink>
      <w:r w:rsidRPr="00BD385D">
        <w:rPr>
          <w:bCs/>
          <w:lang w:val="en"/>
        </w:rPr>
        <w:t xml:space="preserve">) and </w:t>
      </w:r>
      <w:r w:rsidRPr="000665EF">
        <w:rPr>
          <w:b/>
          <w:bCs/>
          <w:lang w:val="en"/>
        </w:rPr>
        <w:t>performance or delivery incentives</w:t>
      </w:r>
      <w:r w:rsidRPr="00BD385D">
        <w:rPr>
          <w:bCs/>
          <w:lang w:val="en"/>
        </w:rPr>
        <w:t xml:space="preserve"> (see </w:t>
      </w:r>
      <w:hyperlink r:id="rId18" w:anchor="wp1078229" w:history="1">
        <w:r w:rsidRPr="00BD385D">
          <w:rPr>
            <w:rStyle w:val="Hyperlink"/>
            <w:bCs/>
            <w:lang w:val="en"/>
          </w:rPr>
          <w:t>16.402-2</w:t>
        </w:r>
      </w:hyperlink>
      <w:r w:rsidRPr="00BD385D">
        <w:rPr>
          <w:bCs/>
          <w:lang w:val="en"/>
        </w:rPr>
        <w:t xml:space="preserve"> and </w:t>
      </w:r>
      <w:hyperlink r:id="rId19" w:anchor="wp1078238" w:history="1">
        <w:r w:rsidRPr="00BD385D">
          <w:rPr>
            <w:rStyle w:val="Hyperlink"/>
            <w:bCs/>
            <w:lang w:val="en"/>
          </w:rPr>
          <w:t>16.402-3</w:t>
        </w:r>
      </w:hyperlink>
      <w:r w:rsidRPr="00BD385D">
        <w:rPr>
          <w:bCs/>
          <w:lang w:val="en"/>
        </w:rPr>
        <w:t xml:space="preserve">) when the award fee or incentive is based solely on factors other than cost. The contract type remains firm-fixed-price when used with these incentives. </w:t>
      </w:r>
    </w:p>
    <w:p w14:paraId="0EEE63C8" w14:textId="77777777" w:rsidR="00BD385D" w:rsidRPr="00BD385D" w:rsidRDefault="00BD385D" w:rsidP="000665EF">
      <w:pPr>
        <w:pStyle w:val="BlockText"/>
        <w:ind w:left="720"/>
        <w:rPr>
          <w:bCs/>
          <w:lang w:val="en"/>
        </w:rPr>
      </w:pPr>
      <w:bookmarkStart w:id="7" w:name="wp1091110"/>
      <w:bookmarkEnd w:id="7"/>
    </w:p>
    <w:p w14:paraId="2AAE2DCA" w14:textId="77777777" w:rsidR="00BD385D" w:rsidRPr="00BD385D" w:rsidRDefault="00BD385D" w:rsidP="000665EF">
      <w:pPr>
        <w:pStyle w:val="BlockText"/>
        <w:ind w:left="720"/>
        <w:rPr>
          <w:bCs/>
          <w:lang w:val="en"/>
        </w:rPr>
      </w:pPr>
      <w:r w:rsidRPr="00BD385D">
        <w:rPr>
          <w:bCs/>
          <w:lang w:val="en"/>
        </w:rPr>
        <w:t>16.202-2 Application.</w:t>
      </w:r>
    </w:p>
    <w:p w14:paraId="771F791E" w14:textId="77777777" w:rsidR="00BD385D" w:rsidRPr="00BD385D" w:rsidRDefault="00BD385D" w:rsidP="000665EF">
      <w:pPr>
        <w:pStyle w:val="BlockText"/>
        <w:ind w:left="720"/>
        <w:rPr>
          <w:bCs/>
          <w:lang w:val="en"/>
        </w:rPr>
      </w:pPr>
      <w:bookmarkStart w:id="8" w:name="wp1091111"/>
      <w:bookmarkEnd w:id="8"/>
      <w:r w:rsidRPr="00BD385D">
        <w:rPr>
          <w:bCs/>
          <w:lang w:val="en"/>
        </w:rPr>
        <w:t xml:space="preserve">A firm-fixed-price contract is suitable for acquiring commercial items (see </w:t>
      </w:r>
      <w:hyperlink r:id="rId20" w:anchor="wp284164" w:history="1">
        <w:r w:rsidRPr="00BD385D">
          <w:rPr>
            <w:rStyle w:val="Hyperlink"/>
            <w:bCs/>
            <w:lang w:val="en"/>
          </w:rPr>
          <w:t>Parts 2</w:t>
        </w:r>
      </w:hyperlink>
      <w:r w:rsidRPr="00BD385D">
        <w:rPr>
          <w:bCs/>
          <w:lang w:val="en"/>
        </w:rPr>
        <w:t xml:space="preserve"> and </w:t>
      </w:r>
      <w:hyperlink r:id="rId21" w:anchor="wp1033864" w:history="1">
        <w:r w:rsidRPr="00BD385D">
          <w:rPr>
            <w:rStyle w:val="Hyperlink"/>
            <w:bCs/>
            <w:lang w:val="en"/>
          </w:rPr>
          <w:t>12</w:t>
        </w:r>
      </w:hyperlink>
      <w:r w:rsidRPr="00BD385D">
        <w:rPr>
          <w:bCs/>
          <w:lang w:val="en"/>
        </w:rPr>
        <w:t xml:space="preserve">) or for acquiring other supplies or services on the basis of reasonably </w:t>
      </w:r>
      <w:r w:rsidRPr="000665EF">
        <w:rPr>
          <w:b/>
          <w:bCs/>
          <w:lang w:val="en"/>
        </w:rPr>
        <w:t>definite functional or detailed specifications</w:t>
      </w:r>
      <w:r w:rsidRPr="00BD385D">
        <w:rPr>
          <w:bCs/>
          <w:lang w:val="en"/>
        </w:rPr>
        <w:t xml:space="preserve"> (see </w:t>
      </w:r>
      <w:hyperlink r:id="rId22" w:anchor="wp226850" w:history="1">
        <w:r w:rsidRPr="00BD385D">
          <w:rPr>
            <w:rStyle w:val="Hyperlink"/>
            <w:bCs/>
            <w:lang w:val="en"/>
          </w:rPr>
          <w:t>Part 11</w:t>
        </w:r>
      </w:hyperlink>
      <w:r w:rsidRPr="00BD385D">
        <w:rPr>
          <w:bCs/>
          <w:lang w:val="en"/>
        </w:rPr>
        <w:t xml:space="preserve">) when the contracting officer can establish fair and reasonable prices at the outset, such as when— </w:t>
      </w:r>
    </w:p>
    <w:p w14:paraId="0D7672D5" w14:textId="77777777" w:rsidR="00BD385D" w:rsidRPr="00BD385D" w:rsidRDefault="00BD385D" w:rsidP="000665EF">
      <w:pPr>
        <w:pStyle w:val="BlockText"/>
        <w:ind w:left="720"/>
        <w:rPr>
          <w:bCs/>
          <w:lang w:val="en"/>
        </w:rPr>
      </w:pPr>
      <w:bookmarkStart w:id="9" w:name="wp1091112"/>
      <w:bookmarkEnd w:id="9"/>
      <w:r w:rsidRPr="00BD385D">
        <w:rPr>
          <w:bCs/>
          <w:lang w:val="en"/>
        </w:rPr>
        <w:t>(a) There is adequate price competition;</w:t>
      </w:r>
    </w:p>
    <w:p w14:paraId="141FFD78" w14:textId="77777777" w:rsidR="00BD385D" w:rsidRPr="00BD385D" w:rsidRDefault="00BD385D" w:rsidP="000665EF">
      <w:pPr>
        <w:pStyle w:val="BlockText"/>
        <w:ind w:left="720"/>
        <w:rPr>
          <w:bCs/>
          <w:lang w:val="en"/>
        </w:rPr>
      </w:pPr>
      <w:bookmarkStart w:id="10" w:name="wp1091113"/>
      <w:bookmarkEnd w:id="10"/>
      <w:r w:rsidRPr="00BD385D">
        <w:rPr>
          <w:bCs/>
          <w:lang w:val="en"/>
        </w:rPr>
        <w:t>(b) There are reasonable price comparisons with prior purchases of the same or similar supplies or services made on a competitive basis or supported by valid certified cost or pricing data;</w:t>
      </w:r>
    </w:p>
    <w:p w14:paraId="2A4B9EE4" w14:textId="77777777" w:rsidR="00BD385D" w:rsidRPr="00BD385D" w:rsidRDefault="00BD385D" w:rsidP="000665EF">
      <w:pPr>
        <w:pStyle w:val="BlockText"/>
        <w:ind w:left="720"/>
        <w:rPr>
          <w:bCs/>
          <w:lang w:val="en"/>
        </w:rPr>
      </w:pPr>
      <w:bookmarkStart w:id="11" w:name="wp1091114"/>
      <w:bookmarkEnd w:id="11"/>
      <w:r w:rsidRPr="00BD385D">
        <w:rPr>
          <w:bCs/>
          <w:lang w:val="en"/>
        </w:rPr>
        <w:t>(c) Available cost or pricing information permits realistic estimates of the probable costs of performance; or</w:t>
      </w:r>
    </w:p>
    <w:p w14:paraId="321B5072" w14:textId="77777777" w:rsidR="00BD385D" w:rsidRPr="00BD385D" w:rsidRDefault="00BD385D" w:rsidP="000665EF">
      <w:pPr>
        <w:pStyle w:val="BlockText"/>
        <w:ind w:left="720"/>
        <w:rPr>
          <w:bCs/>
          <w:lang w:val="en"/>
        </w:rPr>
      </w:pPr>
      <w:bookmarkStart w:id="12" w:name="wp1091115"/>
      <w:bookmarkEnd w:id="12"/>
      <w:r w:rsidRPr="00BD385D">
        <w:rPr>
          <w:bCs/>
          <w:lang w:val="en"/>
        </w:rPr>
        <w:t>(d) Performance uncertainties can be identified and reasonable estimates of their cost impact can be made, and the contractor is willing to accept a firm fixed price representing assumption of the risks involved.</w:t>
      </w:r>
    </w:p>
    <w:p w14:paraId="0AF8C467" w14:textId="77777777" w:rsidR="00BD385D" w:rsidRDefault="00BD385D">
      <w:pPr>
        <w:pStyle w:val="BlockText"/>
        <w:ind w:left="0" w:right="0"/>
        <w:rPr>
          <w:b/>
          <w:bCs/>
          <w:sz w:val="24"/>
          <w:szCs w:val="24"/>
        </w:rPr>
      </w:pPr>
    </w:p>
    <w:p w14:paraId="56A5C4C5" w14:textId="5C68E8D3" w:rsidR="003F0599" w:rsidRDefault="002A0BD7" w:rsidP="003F0599">
      <w:pPr>
        <w:pStyle w:val="BlockText"/>
        <w:ind w:left="0" w:right="0"/>
        <w:jc w:val="center"/>
        <w:rPr>
          <w:b/>
          <w:bCs/>
          <w:sz w:val="24"/>
          <w:szCs w:val="24"/>
        </w:rPr>
      </w:pPr>
      <w:r w:rsidRPr="003F0599">
        <w:rPr>
          <w:b/>
          <w:bCs/>
          <w:noProof/>
          <w:sz w:val="24"/>
          <w:szCs w:val="24"/>
        </w:rPr>
        <w:drawing>
          <wp:inline distT="0" distB="0" distL="0" distR="0" wp14:anchorId="3FB8CE94" wp14:editId="2FD9DB22">
            <wp:extent cx="4775565" cy="2778975"/>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0051" cy="2787405"/>
                    </a:xfrm>
                    <a:prstGeom prst="rect">
                      <a:avLst/>
                    </a:prstGeom>
                    <a:noFill/>
                    <a:ln>
                      <a:noFill/>
                    </a:ln>
                  </pic:spPr>
                </pic:pic>
              </a:graphicData>
            </a:graphic>
          </wp:inline>
        </w:drawing>
      </w:r>
    </w:p>
    <w:p w14:paraId="663A96E0" w14:textId="1C3D81D8" w:rsidR="003F0599" w:rsidRDefault="003F0599" w:rsidP="003F0599">
      <w:pPr>
        <w:pStyle w:val="BlockText"/>
        <w:ind w:left="0" w:right="0"/>
        <w:jc w:val="center"/>
        <w:rPr>
          <w:b/>
          <w:bCs/>
          <w:sz w:val="24"/>
          <w:szCs w:val="24"/>
        </w:rPr>
      </w:pPr>
    </w:p>
    <w:p w14:paraId="167803A8" w14:textId="77777777" w:rsidR="003F0599" w:rsidRDefault="003F0599">
      <w:pPr>
        <w:pStyle w:val="BlockText"/>
        <w:ind w:left="0" w:right="0"/>
        <w:rPr>
          <w:b/>
          <w:bCs/>
          <w:sz w:val="24"/>
          <w:szCs w:val="24"/>
        </w:rPr>
      </w:pPr>
    </w:p>
    <w:p w14:paraId="69F6E278" w14:textId="6ADAEB86" w:rsidR="00944D3C" w:rsidRDefault="000C410F">
      <w:pPr>
        <w:pStyle w:val="BlockText"/>
        <w:ind w:left="0" w:right="0"/>
        <w:rPr>
          <w:b/>
          <w:bCs/>
          <w:sz w:val="24"/>
          <w:szCs w:val="24"/>
        </w:rPr>
      </w:pPr>
      <w:r>
        <w:rPr>
          <w:b/>
          <w:bCs/>
          <w:sz w:val="24"/>
          <w:szCs w:val="24"/>
        </w:rPr>
        <w:t>CONCLUSION</w:t>
      </w:r>
      <w:r w:rsidR="00944D3C">
        <w:rPr>
          <w:b/>
          <w:bCs/>
          <w:sz w:val="24"/>
          <w:szCs w:val="24"/>
        </w:rPr>
        <w:t xml:space="preserve"> </w:t>
      </w:r>
    </w:p>
    <w:p w14:paraId="69F6E279" w14:textId="77777777" w:rsidR="00344465" w:rsidRDefault="00344465">
      <w:pPr>
        <w:pStyle w:val="BlockText"/>
        <w:ind w:left="0" w:right="0"/>
        <w:rPr>
          <w:sz w:val="24"/>
          <w:szCs w:val="24"/>
        </w:rPr>
      </w:pPr>
    </w:p>
    <w:p w14:paraId="69F6E280" w14:textId="6ED81B94" w:rsidR="008B7072" w:rsidRDefault="003306E3" w:rsidP="000C410F">
      <w:pPr>
        <w:pStyle w:val="Default"/>
        <w:rPr>
          <w:rFonts w:ascii="Times New Roman" w:hAnsi="Times New Roman" w:cs="Times New Roman"/>
          <w:color w:val="auto"/>
        </w:rPr>
      </w:pPr>
      <w:r>
        <w:rPr>
          <w:rFonts w:ascii="Times New Roman" w:hAnsi="Times New Roman" w:cs="Times New Roman"/>
          <w:color w:val="auto"/>
        </w:rPr>
        <w:t xml:space="preserve">The </w:t>
      </w:r>
      <w:r w:rsidR="00640BA7">
        <w:rPr>
          <w:rFonts w:ascii="Times New Roman" w:hAnsi="Times New Roman" w:cs="Times New Roman"/>
          <w:color w:val="auto"/>
        </w:rPr>
        <w:t>CFP Steering Committee and Facilities Management Division</w:t>
      </w:r>
      <w:r w:rsidR="00B146EA">
        <w:rPr>
          <w:rFonts w:ascii="Times New Roman" w:hAnsi="Times New Roman" w:cs="Times New Roman"/>
          <w:color w:val="auto"/>
        </w:rPr>
        <w:t xml:space="preserve"> continue</w:t>
      </w:r>
      <w:r>
        <w:rPr>
          <w:rFonts w:ascii="Times New Roman" w:hAnsi="Times New Roman" w:cs="Times New Roman"/>
          <w:color w:val="auto"/>
        </w:rPr>
        <w:t xml:space="preserve"> to </w:t>
      </w:r>
      <w:r w:rsidR="00640BA7">
        <w:rPr>
          <w:rFonts w:ascii="Times New Roman" w:hAnsi="Times New Roman" w:cs="Times New Roman"/>
          <w:color w:val="auto"/>
        </w:rPr>
        <w:t>focus their</w:t>
      </w:r>
      <w:r w:rsidR="000C410F">
        <w:rPr>
          <w:rFonts w:ascii="Times New Roman" w:hAnsi="Times New Roman" w:cs="Times New Roman"/>
          <w:color w:val="auto"/>
        </w:rPr>
        <w:t xml:space="preserve"> efforts on </w:t>
      </w:r>
      <w:r w:rsidR="00640BA7">
        <w:rPr>
          <w:rFonts w:ascii="Times New Roman" w:hAnsi="Times New Roman" w:cs="Times New Roman"/>
          <w:color w:val="auto"/>
        </w:rPr>
        <w:t xml:space="preserve">providing </w:t>
      </w:r>
      <w:r w:rsidR="00B146EA">
        <w:rPr>
          <w:rFonts w:ascii="Times New Roman" w:hAnsi="Times New Roman" w:cs="Times New Roman"/>
          <w:color w:val="auto"/>
        </w:rPr>
        <w:t xml:space="preserve">exceptional </w:t>
      </w:r>
      <w:r w:rsidR="00640BA7">
        <w:rPr>
          <w:rFonts w:ascii="Times New Roman" w:hAnsi="Times New Roman" w:cs="Times New Roman"/>
          <w:color w:val="auto"/>
        </w:rPr>
        <w:t xml:space="preserve">customer service to the employees and citizens of Milwaukee County. </w:t>
      </w:r>
      <w:r w:rsidR="000C410F">
        <w:rPr>
          <w:rFonts w:ascii="Times New Roman" w:hAnsi="Times New Roman" w:cs="Times New Roman"/>
          <w:color w:val="auto"/>
        </w:rPr>
        <w:t xml:space="preserve"> </w:t>
      </w:r>
      <w:r w:rsidR="00B146EA">
        <w:rPr>
          <w:rFonts w:ascii="Times New Roman" w:hAnsi="Times New Roman" w:cs="Times New Roman"/>
          <w:color w:val="auto"/>
        </w:rPr>
        <w:t>Daily efforts are put forth towards developing tools</w:t>
      </w:r>
      <w:r w:rsidR="000C410F">
        <w:rPr>
          <w:rFonts w:ascii="Times New Roman" w:hAnsi="Times New Roman" w:cs="Times New Roman"/>
          <w:color w:val="auto"/>
        </w:rPr>
        <w:t xml:space="preserve"> and processes that maximize the </w:t>
      </w:r>
      <w:r w:rsidR="001B2798">
        <w:rPr>
          <w:rFonts w:ascii="Times New Roman" w:hAnsi="Times New Roman" w:cs="Times New Roman"/>
          <w:color w:val="auto"/>
        </w:rPr>
        <w:t xml:space="preserve">ability of </w:t>
      </w:r>
      <w:r w:rsidR="000C410F">
        <w:rPr>
          <w:rFonts w:ascii="Times New Roman" w:hAnsi="Times New Roman" w:cs="Times New Roman"/>
          <w:color w:val="auto"/>
        </w:rPr>
        <w:t xml:space="preserve">County facilities staff to </w:t>
      </w:r>
      <w:r w:rsidR="001B2798">
        <w:rPr>
          <w:rFonts w:ascii="Times New Roman" w:hAnsi="Times New Roman" w:cs="Times New Roman"/>
          <w:color w:val="auto"/>
        </w:rPr>
        <w:t>accomplish their missions, regardless of what Department they work for. Through process improvement, real estate accountability, and total life cycle planning</w:t>
      </w:r>
      <w:r w:rsidR="008B3748">
        <w:rPr>
          <w:rFonts w:ascii="Times New Roman" w:hAnsi="Times New Roman" w:cs="Times New Roman"/>
          <w:color w:val="auto"/>
        </w:rPr>
        <w:t>,</w:t>
      </w:r>
      <w:r w:rsidR="001B2798">
        <w:rPr>
          <w:rFonts w:ascii="Times New Roman" w:hAnsi="Times New Roman" w:cs="Times New Roman"/>
          <w:color w:val="auto"/>
        </w:rPr>
        <w:t xml:space="preserve"> the County is work</w:t>
      </w:r>
      <w:r w:rsidR="008B3748">
        <w:rPr>
          <w:rFonts w:ascii="Times New Roman" w:hAnsi="Times New Roman" w:cs="Times New Roman"/>
          <w:color w:val="auto"/>
        </w:rPr>
        <w:t>ing</w:t>
      </w:r>
      <w:r w:rsidR="001B2798">
        <w:rPr>
          <w:rFonts w:ascii="Times New Roman" w:hAnsi="Times New Roman" w:cs="Times New Roman"/>
          <w:color w:val="auto"/>
        </w:rPr>
        <w:t xml:space="preserve"> towards a much more </w:t>
      </w:r>
      <w:r w:rsidR="00626565">
        <w:rPr>
          <w:rFonts w:ascii="Times New Roman" w:hAnsi="Times New Roman" w:cs="Times New Roman"/>
          <w:color w:val="auto"/>
        </w:rPr>
        <w:t>sound financial</w:t>
      </w:r>
      <w:r w:rsidR="001B2798">
        <w:rPr>
          <w:rFonts w:ascii="Times New Roman" w:hAnsi="Times New Roman" w:cs="Times New Roman"/>
          <w:color w:val="auto"/>
        </w:rPr>
        <w:t xml:space="preserve"> future</w:t>
      </w:r>
      <w:r w:rsidR="008B3748">
        <w:rPr>
          <w:rFonts w:ascii="Times New Roman" w:hAnsi="Times New Roman" w:cs="Times New Roman"/>
          <w:color w:val="auto"/>
        </w:rPr>
        <w:t xml:space="preserve"> for </w:t>
      </w:r>
      <w:r w:rsidR="00A42095">
        <w:rPr>
          <w:rFonts w:ascii="Times New Roman" w:hAnsi="Times New Roman" w:cs="Times New Roman"/>
          <w:color w:val="auto"/>
        </w:rPr>
        <w:t xml:space="preserve">Milwaukee </w:t>
      </w:r>
      <w:r w:rsidR="008B3748">
        <w:rPr>
          <w:rFonts w:ascii="Times New Roman" w:hAnsi="Times New Roman" w:cs="Times New Roman"/>
          <w:color w:val="auto"/>
        </w:rPr>
        <w:t>County facilities</w:t>
      </w:r>
      <w:r w:rsidR="001B2798">
        <w:rPr>
          <w:rFonts w:ascii="Times New Roman" w:hAnsi="Times New Roman" w:cs="Times New Roman"/>
          <w:color w:val="auto"/>
        </w:rPr>
        <w:t>.</w:t>
      </w:r>
    </w:p>
    <w:p w14:paraId="3849B42C" w14:textId="77777777" w:rsidR="001B2798" w:rsidRDefault="001B2798" w:rsidP="000C410F">
      <w:pPr>
        <w:pStyle w:val="Default"/>
        <w:rPr>
          <w:rFonts w:ascii="Times New Roman" w:hAnsi="Times New Roman" w:cs="Times New Roman"/>
          <w:color w:val="auto"/>
        </w:rPr>
      </w:pPr>
    </w:p>
    <w:p w14:paraId="69F6E282" w14:textId="77777777" w:rsidR="00944D3C" w:rsidRDefault="00944D3C">
      <w:pPr>
        <w:pStyle w:val="BlockText"/>
        <w:ind w:left="0" w:right="0"/>
        <w:rPr>
          <w:sz w:val="24"/>
          <w:szCs w:val="24"/>
        </w:rPr>
      </w:pPr>
      <w:r>
        <w:rPr>
          <w:sz w:val="24"/>
          <w:szCs w:val="24"/>
        </w:rPr>
        <w:t>Thank you for your consideration.</w:t>
      </w:r>
    </w:p>
    <w:p w14:paraId="69F6E283" w14:textId="77777777" w:rsidR="00944D3C" w:rsidRDefault="00944D3C">
      <w:pPr>
        <w:ind w:right="720"/>
        <w:rPr>
          <w:rFonts w:cs="Times New Roman"/>
        </w:rPr>
      </w:pPr>
    </w:p>
    <w:p w14:paraId="69F6E288" w14:textId="77777777" w:rsidR="00944D3C" w:rsidRDefault="00944D3C">
      <w:pPr>
        <w:ind w:right="720"/>
        <w:rPr>
          <w:rFonts w:cs="Times New Roman"/>
          <w:b/>
          <w:bCs/>
        </w:rPr>
      </w:pPr>
    </w:p>
    <w:p w14:paraId="69F6E289" w14:textId="77777777" w:rsidR="00944D3C" w:rsidRDefault="00944D3C">
      <w:pPr>
        <w:ind w:right="720"/>
        <w:rPr>
          <w:rFonts w:cs="Times New Roman"/>
          <w:b/>
          <w:bCs/>
        </w:rPr>
      </w:pPr>
    </w:p>
    <w:p w14:paraId="69F6E28A" w14:textId="77777777" w:rsidR="00944D3C" w:rsidRDefault="00944D3C">
      <w:pPr>
        <w:ind w:right="720"/>
        <w:rPr>
          <w:rFonts w:cs="Times New Roman"/>
          <w:b/>
          <w:bCs/>
        </w:rPr>
      </w:pPr>
      <w:r>
        <w:rPr>
          <w:rFonts w:cs="Times New Roman"/>
          <w:b/>
          <w:bCs/>
        </w:rPr>
        <w:t>___________________________</w:t>
      </w:r>
    </w:p>
    <w:p w14:paraId="69F6E28B" w14:textId="77777777" w:rsidR="00944D3C" w:rsidRDefault="00D97105">
      <w:pPr>
        <w:ind w:right="720"/>
        <w:rPr>
          <w:rFonts w:cs="Times New Roman"/>
        </w:rPr>
      </w:pPr>
      <w:r>
        <w:rPr>
          <w:rFonts w:cs="Times New Roman"/>
        </w:rPr>
        <w:t xml:space="preserve">Jeremy Theis, </w:t>
      </w:r>
      <w:r w:rsidR="00944D3C">
        <w:rPr>
          <w:rFonts w:cs="Times New Roman"/>
        </w:rPr>
        <w:t>Director</w:t>
      </w:r>
    </w:p>
    <w:p w14:paraId="69F6E28C" w14:textId="77777777" w:rsidR="00944D3C" w:rsidRDefault="00D97105">
      <w:pPr>
        <w:ind w:right="720"/>
        <w:rPr>
          <w:rFonts w:cs="Times New Roman"/>
        </w:rPr>
      </w:pPr>
      <w:r>
        <w:rPr>
          <w:rFonts w:cs="Times New Roman"/>
        </w:rPr>
        <w:t>Facilities Management Division, DAS</w:t>
      </w:r>
    </w:p>
    <w:p w14:paraId="69F6E28D" w14:textId="77777777" w:rsidR="00DE36AC" w:rsidRDefault="00DE36AC">
      <w:pPr>
        <w:rPr>
          <w:rFonts w:cs="Times New Roman"/>
        </w:rPr>
      </w:pPr>
    </w:p>
    <w:p w14:paraId="69F6E292" w14:textId="77777777" w:rsidR="00944D3C" w:rsidRDefault="00944D3C">
      <w:pPr>
        <w:pStyle w:val="NormalWeb"/>
        <w:spacing w:before="0" w:beforeAutospacing="0" w:after="0" w:afterAutospacing="0"/>
      </w:pPr>
    </w:p>
    <w:p w14:paraId="69F6E293" w14:textId="7E629887" w:rsidR="00944D3C" w:rsidRDefault="00E3492B">
      <w:pPr>
        <w:rPr>
          <w:rFonts w:cs="Times New Roman"/>
        </w:rPr>
      </w:pPr>
      <w:r>
        <w:rPr>
          <w:rFonts w:cs="Times New Roman"/>
        </w:rPr>
        <w:t>c</w:t>
      </w:r>
      <w:r w:rsidR="00944D3C">
        <w:rPr>
          <w:rFonts w:cs="Times New Roman"/>
        </w:rPr>
        <w:t>c:</w:t>
      </w:r>
      <w:r w:rsidR="00944D3C">
        <w:rPr>
          <w:rFonts w:cs="Times New Roman"/>
        </w:rPr>
        <w:tab/>
        <w:t>Chris Abele, County Executive</w:t>
      </w:r>
    </w:p>
    <w:p w14:paraId="31EA0590" w14:textId="19A05D0F" w:rsidR="00F74ACD" w:rsidRDefault="00F74ACD" w:rsidP="00F74ACD">
      <w:pPr>
        <w:ind w:left="720"/>
        <w:rPr>
          <w:rFonts w:cs="Times New Roman"/>
        </w:rPr>
      </w:pPr>
      <w:r>
        <w:rPr>
          <w:rFonts w:cs="Times New Roman"/>
        </w:rPr>
        <w:t>Supervisor Michael Mayo, Sr., Chairman, Transportation, Public Works and Transit Committee</w:t>
      </w:r>
    </w:p>
    <w:p w14:paraId="6CBC94AB" w14:textId="2C7D0BAB" w:rsidR="00F74ACD" w:rsidRDefault="00F74ACD" w:rsidP="00F74ACD">
      <w:pPr>
        <w:ind w:left="720"/>
        <w:rPr>
          <w:rFonts w:cs="Times New Roman"/>
        </w:rPr>
      </w:pPr>
      <w:r>
        <w:rPr>
          <w:rFonts w:cs="Times New Roman"/>
        </w:rPr>
        <w:t xml:space="preserve">Supervisor John R. Weishan, Jr., </w:t>
      </w:r>
      <w:r w:rsidR="00D16A6E">
        <w:rPr>
          <w:rFonts w:cs="Times New Roman"/>
        </w:rPr>
        <w:t>Vice Chairman, Transportation, Public Works and Transit Committee</w:t>
      </w:r>
    </w:p>
    <w:p w14:paraId="69F6E294" w14:textId="77777777" w:rsidR="00944D3C" w:rsidRDefault="00944D3C">
      <w:pPr>
        <w:ind w:firstLine="720"/>
        <w:rPr>
          <w:rFonts w:cs="Times New Roman"/>
        </w:rPr>
      </w:pPr>
      <w:r>
        <w:rPr>
          <w:rFonts w:cs="Times New Roman"/>
        </w:rPr>
        <w:t>Raisa Koltun, Chief of Staff, County Executive’s Office</w:t>
      </w:r>
    </w:p>
    <w:p w14:paraId="69F6E295" w14:textId="79CEB01B" w:rsidR="00944D3C" w:rsidRDefault="00944D3C">
      <w:pPr>
        <w:ind w:firstLine="720"/>
        <w:rPr>
          <w:rFonts w:cs="Times New Roman"/>
        </w:rPr>
      </w:pPr>
      <w:r>
        <w:rPr>
          <w:rFonts w:cs="Times New Roman"/>
        </w:rPr>
        <w:t>Kelly Bablitch, Chief of Staff, County Board</w:t>
      </w:r>
      <w:r w:rsidR="00D16A6E">
        <w:rPr>
          <w:rFonts w:cs="Times New Roman"/>
        </w:rPr>
        <w:t xml:space="preserve"> of Supervisors</w:t>
      </w:r>
    </w:p>
    <w:p w14:paraId="3A5CB7F8" w14:textId="26FB9F70" w:rsidR="00FB3A57" w:rsidRDefault="00FB3A57">
      <w:pPr>
        <w:rPr>
          <w:rFonts w:cs="Times New Roman"/>
        </w:rPr>
      </w:pPr>
      <w:r>
        <w:rPr>
          <w:rFonts w:cs="Times New Roman"/>
        </w:rPr>
        <w:tab/>
        <w:t xml:space="preserve">Teig Whaley-Smith, </w:t>
      </w:r>
      <w:r w:rsidR="00F74ACD">
        <w:rPr>
          <w:rFonts w:cs="Times New Roman"/>
        </w:rPr>
        <w:t>Director, Department of Administrative Services (DAS)</w:t>
      </w:r>
    </w:p>
    <w:p w14:paraId="7D87C9F7" w14:textId="1E205F4F" w:rsidR="00FB3A57" w:rsidRDefault="00FB3A57">
      <w:pPr>
        <w:rPr>
          <w:rFonts w:cs="Times New Roman"/>
        </w:rPr>
      </w:pPr>
      <w:r>
        <w:rPr>
          <w:rFonts w:cs="Times New Roman"/>
        </w:rPr>
        <w:tab/>
        <w:t>Julie Esch, Director of Operations, DAS</w:t>
      </w:r>
    </w:p>
    <w:p w14:paraId="69F6E296" w14:textId="5D5BF154" w:rsidR="00944D3C" w:rsidRDefault="00FB3A57" w:rsidP="00FB3A57">
      <w:pPr>
        <w:ind w:firstLine="720"/>
        <w:rPr>
          <w:rFonts w:cs="Times New Roman"/>
        </w:rPr>
      </w:pPr>
      <w:r>
        <w:rPr>
          <w:rFonts w:cs="Times New Roman"/>
        </w:rPr>
        <w:t>Steve Kreklow</w:t>
      </w:r>
      <w:r w:rsidR="00944D3C">
        <w:rPr>
          <w:rFonts w:cs="Times New Roman"/>
        </w:rPr>
        <w:t>, Fiscal &amp; Budget Director, DAS</w:t>
      </w:r>
    </w:p>
    <w:p w14:paraId="69F6E297" w14:textId="77777777" w:rsidR="00944D3C" w:rsidRDefault="00944D3C">
      <w:pPr>
        <w:rPr>
          <w:rFonts w:cs="Times New Roman"/>
        </w:rPr>
      </w:pPr>
      <w:r>
        <w:rPr>
          <w:rFonts w:cs="Times New Roman"/>
        </w:rPr>
        <w:tab/>
        <w:t>Vince Masterson, Fiscal &amp; Strategic Asset Coordinator, DAS</w:t>
      </w:r>
    </w:p>
    <w:p w14:paraId="69F6E298" w14:textId="77777777" w:rsidR="00944D3C" w:rsidRDefault="00944D3C">
      <w:pPr>
        <w:rPr>
          <w:rFonts w:cs="Times New Roman"/>
        </w:rPr>
      </w:pPr>
      <w:r>
        <w:rPr>
          <w:rFonts w:cs="Times New Roman"/>
        </w:rPr>
        <w:tab/>
        <w:t>Pamela Bryant, Capital Finance Manager, Comptroller’s Office</w:t>
      </w:r>
    </w:p>
    <w:p w14:paraId="37B3FE35" w14:textId="2790234A" w:rsidR="00B146EA" w:rsidRDefault="00B146EA" w:rsidP="00B146EA">
      <w:pPr>
        <w:ind w:firstLine="720"/>
        <w:rPr>
          <w:rFonts w:cs="Times New Roman"/>
        </w:rPr>
      </w:pPr>
      <w:r>
        <w:rPr>
          <w:rFonts w:cs="Times New Roman"/>
        </w:rPr>
        <w:t>Justin Rodriguez, Capital Finance Analyst, Comptroller’s Office</w:t>
      </w:r>
      <w:r w:rsidR="00F74ACD">
        <w:rPr>
          <w:rFonts w:cs="Times New Roman"/>
        </w:rPr>
        <w:tab/>
      </w:r>
    </w:p>
    <w:p w14:paraId="2CA7AE69" w14:textId="0F2C0A34" w:rsidR="00F74ACD" w:rsidRDefault="00F74ACD" w:rsidP="00B146EA">
      <w:pPr>
        <w:ind w:firstLine="720"/>
        <w:rPr>
          <w:rFonts w:cs="Times New Roman"/>
        </w:rPr>
      </w:pPr>
      <w:r>
        <w:rPr>
          <w:rFonts w:cs="Times New Roman"/>
        </w:rPr>
        <w:t>Katarina Lucas, Research &amp; Policy Analyst, Comptroller’s Office</w:t>
      </w:r>
    </w:p>
    <w:p w14:paraId="10C4378E" w14:textId="7CC1F3D4" w:rsidR="00F74ACD" w:rsidRDefault="00944D3C">
      <w:pPr>
        <w:rPr>
          <w:rFonts w:cs="Times New Roman"/>
        </w:rPr>
      </w:pPr>
      <w:r>
        <w:rPr>
          <w:rFonts w:cs="Times New Roman"/>
        </w:rPr>
        <w:tab/>
      </w:r>
      <w:r w:rsidR="00F74ACD">
        <w:rPr>
          <w:rFonts w:cs="Times New Roman"/>
        </w:rPr>
        <w:t>Shanin Brown, Committee Coordinator, County Clerk</w:t>
      </w:r>
    </w:p>
    <w:sectPr w:rsidR="00F74ACD" w:rsidSect="00E3492B">
      <w:headerReference w:type="default" r:id="rId24"/>
      <w:type w:val="continuous"/>
      <w:pgSz w:w="12240" w:h="15840"/>
      <w:pgMar w:top="1008" w:right="1440" w:bottom="99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0137" w14:textId="77777777" w:rsidR="00061C31" w:rsidRDefault="00061C31">
      <w:pPr>
        <w:rPr>
          <w:rFonts w:cs="Times New Roman"/>
        </w:rPr>
      </w:pPr>
      <w:r>
        <w:rPr>
          <w:rFonts w:cs="Times New Roman"/>
        </w:rPr>
        <w:separator/>
      </w:r>
    </w:p>
  </w:endnote>
  <w:endnote w:type="continuationSeparator" w:id="0">
    <w:p w14:paraId="4549D182" w14:textId="77777777" w:rsidR="00061C31" w:rsidRDefault="00061C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0EFD" w14:textId="77777777" w:rsidR="00061C31" w:rsidRDefault="00061C31">
      <w:pPr>
        <w:rPr>
          <w:rFonts w:cs="Times New Roman"/>
        </w:rPr>
      </w:pPr>
      <w:r>
        <w:rPr>
          <w:rFonts w:cs="Times New Roman"/>
        </w:rPr>
        <w:separator/>
      </w:r>
    </w:p>
  </w:footnote>
  <w:footnote w:type="continuationSeparator" w:id="0">
    <w:p w14:paraId="25086952" w14:textId="77777777" w:rsidR="00061C31" w:rsidRDefault="00061C3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E29E" w14:textId="77777777" w:rsidR="00944D3C" w:rsidRDefault="00944D3C">
    <w:pPr>
      <w:pStyle w:val="Header"/>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511DC">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511DC">
      <w:rPr>
        <w:rStyle w:val="PageNumber"/>
        <w:noProof/>
      </w:rPr>
      <w:t>8</w:t>
    </w:r>
    <w:r>
      <w:rPr>
        <w:rStyle w:val="PageNumber"/>
      </w:rPr>
      <w:fldChar w:fldCharType="end"/>
    </w:r>
  </w:p>
  <w:p w14:paraId="3727FF04" w14:textId="77777777" w:rsidR="00E3492B" w:rsidRDefault="00E3492B">
    <w:pPr>
      <w:pStyle w:val="Header"/>
      <w:jc w:val="right"/>
    </w:pPr>
  </w:p>
  <w:p w14:paraId="3B216AF2" w14:textId="77777777" w:rsidR="00481FAF" w:rsidRDefault="00481F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A58"/>
    <w:multiLevelType w:val="hybridMultilevel"/>
    <w:tmpl w:val="08FAC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3B038B1"/>
    <w:multiLevelType w:val="multilevel"/>
    <w:tmpl w:val="347023C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6191B01"/>
    <w:multiLevelType w:val="hybridMultilevel"/>
    <w:tmpl w:val="3264A4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4935AB"/>
    <w:multiLevelType w:val="hybridMultilevel"/>
    <w:tmpl w:val="39F6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DC9"/>
    <w:multiLevelType w:val="hybridMultilevel"/>
    <w:tmpl w:val="2B84D664"/>
    <w:lvl w:ilvl="0" w:tplc="04090001">
      <w:start w:val="1"/>
      <w:numFmt w:val="bullet"/>
      <w:lvlText w:val=""/>
      <w:lvlJc w:val="left"/>
      <w:pPr>
        <w:ind w:left="360" w:hanging="360"/>
      </w:pPr>
      <w:rPr>
        <w:rFonts w:ascii="Symbol" w:hAnsi="Symbol" w:cs="Symbol"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0D1A4BD5"/>
    <w:multiLevelType w:val="hybridMultilevel"/>
    <w:tmpl w:val="BCCC7666"/>
    <w:lvl w:ilvl="0" w:tplc="CBC03E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23307D"/>
    <w:multiLevelType w:val="hybridMultilevel"/>
    <w:tmpl w:val="B01CD5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13597EA1"/>
    <w:multiLevelType w:val="hybridMultilevel"/>
    <w:tmpl w:val="7D8CC14A"/>
    <w:lvl w:ilvl="0" w:tplc="04090001">
      <w:start w:val="1"/>
      <w:numFmt w:val="bullet"/>
      <w:lvlText w:val=""/>
      <w:lvlJc w:val="left"/>
      <w:pPr>
        <w:ind w:left="783" w:hanging="360"/>
      </w:pPr>
      <w:rPr>
        <w:rFonts w:ascii="Symbol" w:hAnsi="Symbol" w:cs="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cs="Wingdings" w:hint="default"/>
      </w:rPr>
    </w:lvl>
    <w:lvl w:ilvl="3" w:tplc="04090001">
      <w:start w:val="1"/>
      <w:numFmt w:val="bullet"/>
      <w:lvlText w:val=""/>
      <w:lvlJc w:val="left"/>
      <w:pPr>
        <w:ind w:left="2943" w:hanging="360"/>
      </w:pPr>
      <w:rPr>
        <w:rFonts w:ascii="Symbol" w:hAnsi="Symbol" w:cs="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cs="Wingdings" w:hint="default"/>
      </w:rPr>
    </w:lvl>
    <w:lvl w:ilvl="6" w:tplc="04090001">
      <w:start w:val="1"/>
      <w:numFmt w:val="bullet"/>
      <w:lvlText w:val=""/>
      <w:lvlJc w:val="left"/>
      <w:pPr>
        <w:ind w:left="5103" w:hanging="360"/>
      </w:pPr>
      <w:rPr>
        <w:rFonts w:ascii="Symbol" w:hAnsi="Symbol" w:cs="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cs="Wingdings" w:hint="default"/>
      </w:rPr>
    </w:lvl>
  </w:abstractNum>
  <w:abstractNum w:abstractNumId="8" w15:restartNumberingAfterBreak="0">
    <w:nsid w:val="142D239C"/>
    <w:multiLevelType w:val="hybridMultilevel"/>
    <w:tmpl w:val="9E9ADFD4"/>
    <w:lvl w:ilvl="0" w:tplc="04090001">
      <w:start w:val="1"/>
      <w:numFmt w:val="bullet"/>
      <w:lvlText w:val=""/>
      <w:lvlJc w:val="left"/>
      <w:pPr>
        <w:ind w:left="360" w:hanging="360"/>
      </w:pPr>
      <w:rPr>
        <w:rFonts w:ascii="Symbol" w:hAnsi="Symbol" w:cs="Symbol"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15574CF9"/>
    <w:multiLevelType w:val="hybridMultilevel"/>
    <w:tmpl w:val="54D0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52147"/>
    <w:multiLevelType w:val="hybridMultilevel"/>
    <w:tmpl w:val="C714E13C"/>
    <w:lvl w:ilvl="0" w:tplc="04090001">
      <w:start w:val="1"/>
      <w:numFmt w:val="bullet"/>
      <w:lvlText w:val=""/>
      <w:lvlJc w:val="left"/>
      <w:pPr>
        <w:ind w:left="360" w:hanging="360"/>
      </w:pPr>
      <w:rPr>
        <w:rFonts w:ascii="Symbol" w:hAnsi="Symbol" w:cs="Symbol" w:hint="default"/>
      </w:rPr>
    </w:lvl>
    <w:lvl w:ilvl="1" w:tplc="CA3E5514">
      <w:start w:val="1"/>
      <w:numFmt w:val="bullet"/>
      <w:lvlText w:val="o"/>
      <w:lvlJc w:val="left"/>
      <w:pPr>
        <w:ind w:left="1080" w:hanging="360"/>
      </w:pPr>
      <w:rPr>
        <w:rFonts w:ascii="Courier New" w:hAnsi="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1C6F02A6"/>
    <w:multiLevelType w:val="multilevel"/>
    <w:tmpl w:val="A8508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1D8B1FAD"/>
    <w:multiLevelType w:val="hybridMultilevel"/>
    <w:tmpl w:val="BCAE0D9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E7F35B1"/>
    <w:multiLevelType w:val="multilevel"/>
    <w:tmpl w:val="FB48AB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0F86F8A"/>
    <w:multiLevelType w:val="hybridMultilevel"/>
    <w:tmpl w:val="C1C66A4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2AB2335E"/>
    <w:multiLevelType w:val="hybridMultilevel"/>
    <w:tmpl w:val="A0EC195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F0F605F"/>
    <w:multiLevelType w:val="hybridMultilevel"/>
    <w:tmpl w:val="D9DC7636"/>
    <w:lvl w:ilvl="0" w:tplc="29609826">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40A67171"/>
    <w:multiLevelType w:val="hybridMultilevel"/>
    <w:tmpl w:val="723A7D6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20873DE"/>
    <w:multiLevelType w:val="hybridMultilevel"/>
    <w:tmpl w:val="DEC23F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452A26A4"/>
    <w:multiLevelType w:val="hybridMultilevel"/>
    <w:tmpl w:val="2D683C3E"/>
    <w:lvl w:ilvl="0" w:tplc="04090005">
      <w:start w:val="1"/>
      <w:numFmt w:val="bullet"/>
      <w:lvlText w:val=""/>
      <w:lvlJc w:val="left"/>
      <w:pPr>
        <w:ind w:left="360" w:hanging="360"/>
      </w:pPr>
      <w:rPr>
        <w:rFonts w:ascii="Wingdings" w:hAnsi="Wingdings" w:cs="Wingdings"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47030DA3"/>
    <w:multiLevelType w:val="hybridMultilevel"/>
    <w:tmpl w:val="B20297B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8B2D06"/>
    <w:multiLevelType w:val="hybridMultilevel"/>
    <w:tmpl w:val="F24AC9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99648FD"/>
    <w:multiLevelType w:val="hybridMultilevel"/>
    <w:tmpl w:val="4218FB2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C767DED"/>
    <w:multiLevelType w:val="hybridMultilevel"/>
    <w:tmpl w:val="8B1A04A6"/>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4" w15:restartNumberingAfterBreak="0">
    <w:nsid w:val="4F997170"/>
    <w:multiLevelType w:val="hybridMultilevel"/>
    <w:tmpl w:val="6A56C580"/>
    <w:lvl w:ilvl="0" w:tplc="04090005">
      <w:start w:val="1"/>
      <w:numFmt w:val="bullet"/>
      <w:lvlText w:val=""/>
      <w:lvlJc w:val="left"/>
      <w:pPr>
        <w:ind w:left="360" w:hanging="360"/>
      </w:pPr>
      <w:rPr>
        <w:rFonts w:ascii="Wingdings" w:hAnsi="Wingdings" w:cs="Wingdings"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59BB22F3"/>
    <w:multiLevelType w:val="hybridMultilevel"/>
    <w:tmpl w:val="0A60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B2F17"/>
    <w:multiLevelType w:val="hybridMultilevel"/>
    <w:tmpl w:val="935E0C0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5CF2094E"/>
    <w:multiLevelType w:val="hybridMultilevel"/>
    <w:tmpl w:val="6D0CDDA4"/>
    <w:lvl w:ilvl="0" w:tplc="0409000F">
      <w:start w:val="1"/>
      <w:numFmt w:val="decimal"/>
      <w:lvlText w:val="%1."/>
      <w:lvlJc w:val="left"/>
      <w:pPr>
        <w:tabs>
          <w:tab w:val="num" w:pos="360"/>
        </w:tabs>
        <w:ind w:left="360" w:hanging="360"/>
      </w:pPr>
      <w:rPr>
        <w:rFonts w:ascii="Times New Roman" w:hAnsi="Times New Roman" w:cs="Times New Roman"/>
      </w:rPr>
    </w:lvl>
    <w:lvl w:ilvl="1" w:tplc="04090001">
      <w:start w:val="1"/>
      <w:numFmt w:val="bullet"/>
      <w:lvlText w:val=""/>
      <w:lvlJc w:val="left"/>
      <w:pPr>
        <w:tabs>
          <w:tab w:val="num" w:pos="1080"/>
        </w:tabs>
        <w:ind w:left="1080" w:hanging="360"/>
      </w:pPr>
      <w:rPr>
        <w:rFonts w:ascii="Symbol" w:hAnsi="Symbol" w:cs="Symbol" w:hint="default"/>
      </w:rPr>
    </w:lvl>
    <w:lvl w:ilvl="2" w:tplc="0409000F">
      <w:start w:val="1"/>
      <w:numFmt w:val="decimal"/>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5F2F471E"/>
    <w:multiLevelType w:val="hybridMultilevel"/>
    <w:tmpl w:val="7C321012"/>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26A4F41"/>
    <w:multiLevelType w:val="hybridMultilevel"/>
    <w:tmpl w:val="17B4A316"/>
    <w:lvl w:ilvl="0" w:tplc="04090001">
      <w:start w:val="1"/>
      <w:numFmt w:val="bullet"/>
      <w:lvlText w:val=""/>
      <w:lvlJc w:val="left"/>
      <w:pPr>
        <w:ind w:left="360" w:hanging="360"/>
      </w:pPr>
      <w:rPr>
        <w:rFonts w:ascii="Symbol" w:hAnsi="Symbol" w:cs="Symbol"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69BD5477"/>
    <w:multiLevelType w:val="hybridMultilevel"/>
    <w:tmpl w:val="58925ED8"/>
    <w:lvl w:ilvl="0" w:tplc="DE667778">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A9D55D3"/>
    <w:multiLevelType w:val="hybridMultilevel"/>
    <w:tmpl w:val="9766A132"/>
    <w:lvl w:ilvl="0" w:tplc="854634A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138F2"/>
    <w:multiLevelType w:val="hybridMultilevel"/>
    <w:tmpl w:val="CBD89EA8"/>
    <w:lvl w:ilvl="0" w:tplc="04090001">
      <w:start w:val="1"/>
      <w:numFmt w:val="bullet"/>
      <w:lvlText w:val=""/>
      <w:lvlJc w:val="left"/>
      <w:pPr>
        <w:ind w:left="776" w:hanging="360"/>
      </w:pPr>
      <w:rPr>
        <w:rFonts w:ascii="Symbol" w:hAnsi="Symbol" w:cs="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cs="Wingdings" w:hint="default"/>
      </w:rPr>
    </w:lvl>
    <w:lvl w:ilvl="3" w:tplc="04090001">
      <w:start w:val="1"/>
      <w:numFmt w:val="bullet"/>
      <w:lvlText w:val=""/>
      <w:lvlJc w:val="left"/>
      <w:pPr>
        <w:ind w:left="2936" w:hanging="360"/>
      </w:pPr>
      <w:rPr>
        <w:rFonts w:ascii="Symbol" w:hAnsi="Symbol" w:cs="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cs="Wingdings" w:hint="default"/>
      </w:rPr>
    </w:lvl>
    <w:lvl w:ilvl="6" w:tplc="04090001">
      <w:start w:val="1"/>
      <w:numFmt w:val="bullet"/>
      <w:lvlText w:val=""/>
      <w:lvlJc w:val="left"/>
      <w:pPr>
        <w:ind w:left="5096" w:hanging="360"/>
      </w:pPr>
      <w:rPr>
        <w:rFonts w:ascii="Symbol" w:hAnsi="Symbol" w:cs="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cs="Wingdings" w:hint="default"/>
      </w:rPr>
    </w:lvl>
  </w:abstractNum>
  <w:abstractNum w:abstractNumId="33" w15:restartNumberingAfterBreak="0">
    <w:nsid w:val="6BD22F7C"/>
    <w:multiLevelType w:val="hybridMultilevel"/>
    <w:tmpl w:val="F00CBE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15:restartNumberingAfterBreak="0">
    <w:nsid w:val="6D0A6B16"/>
    <w:multiLevelType w:val="hybridMultilevel"/>
    <w:tmpl w:val="DE0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672A9"/>
    <w:multiLevelType w:val="hybridMultilevel"/>
    <w:tmpl w:val="DDE2D7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695039A"/>
    <w:multiLevelType w:val="hybridMultilevel"/>
    <w:tmpl w:val="C458DF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D7555DA"/>
    <w:multiLevelType w:val="hybridMultilevel"/>
    <w:tmpl w:val="76589B62"/>
    <w:lvl w:ilvl="0" w:tplc="04090001">
      <w:start w:val="1"/>
      <w:numFmt w:val="bullet"/>
      <w:lvlText w:val=""/>
      <w:lvlJc w:val="left"/>
      <w:pPr>
        <w:ind w:left="360" w:hanging="360"/>
      </w:pPr>
      <w:rPr>
        <w:rFonts w:ascii="Symbol" w:hAnsi="Symbol" w:cs="Symbol" w:hint="default"/>
      </w:rPr>
    </w:lvl>
    <w:lvl w:ilvl="1" w:tplc="89A85FF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15:restartNumberingAfterBreak="0">
    <w:nsid w:val="7DBC7282"/>
    <w:multiLevelType w:val="hybridMultilevel"/>
    <w:tmpl w:val="534AD93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15:restartNumberingAfterBreak="0">
    <w:nsid w:val="7DF73E72"/>
    <w:multiLevelType w:val="multilevel"/>
    <w:tmpl w:val="C2666B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0" w15:restartNumberingAfterBreak="0">
    <w:nsid w:val="7FDE400B"/>
    <w:multiLevelType w:val="hybridMultilevel"/>
    <w:tmpl w:val="C97AC28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6"/>
  </w:num>
  <w:num w:numId="2">
    <w:abstractNumId w:val="21"/>
  </w:num>
  <w:num w:numId="3">
    <w:abstractNumId w:val="5"/>
  </w:num>
  <w:num w:numId="4">
    <w:abstractNumId w:val="7"/>
  </w:num>
  <w:num w:numId="5">
    <w:abstractNumId w:val="0"/>
  </w:num>
  <w:num w:numId="6">
    <w:abstractNumId w:val="32"/>
  </w:num>
  <w:num w:numId="7">
    <w:abstractNumId w:val="1"/>
  </w:num>
  <w:num w:numId="8">
    <w:abstractNumId w:val="39"/>
  </w:num>
  <w:num w:numId="9">
    <w:abstractNumId w:val="11"/>
  </w:num>
  <w:num w:numId="10">
    <w:abstractNumId w:val="13"/>
  </w:num>
  <w:num w:numId="11">
    <w:abstractNumId w:val="18"/>
  </w:num>
  <w:num w:numId="12">
    <w:abstractNumId w:val="38"/>
  </w:num>
  <w:num w:numId="13">
    <w:abstractNumId w:val="23"/>
  </w:num>
  <w:num w:numId="14">
    <w:abstractNumId w:val="14"/>
  </w:num>
  <w:num w:numId="15">
    <w:abstractNumId w:val="33"/>
  </w:num>
  <w:num w:numId="16">
    <w:abstractNumId w:val="27"/>
  </w:num>
  <w:num w:numId="17">
    <w:abstractNumId w:val="2"/>
  </w:num>
  <w:num w:numId="18">
    <w:abstractNumId w:val="16"/>
  </w:num>
  <w:num w:numId="19">
    <w:abstractNumId w:val="22"/>
  </w:num>
  <w:num w:numId="20">
    <w:abstractNumId w:val="4"/>
  </w:num>
  <w:num w:numId="21">
    <w:abstractNumId w:val="35"/>
  </w:num>
  <w:num w:numId="22">
    <w:abstractNumId w:val="28"/>
  </w:num>
  <w:num w:numId="23">
    <w:abstractNumId w:val="30"/>
  </w:num>
  <w:num w:numId="24">
    <w:abstractNumId w:val="12"/>
  </w:num>
  <w:num w:numId="25">
    <w:abstractNumId w:val="6"/>
  </w:num>
  <w:num w:numId="26">
    <w:abstractNumId w:val="37"/>
  </w:num>
  <w:num w:numId="27">
    <w:abstractNumId w:val="20"/>
  </w:num>
  <w:num w:numId="28">
    <w:abstractNumId w:val="40"/>
  </w:num>
  <w:num w:numId="29">
    <w:abstractNumId w:val="15"/>
  </w:num>
  <w:num w:numId="30">
    <w:abstractNumId w:val="24"/>
  </w:num>
  <w:num w:numId="31">
    <w:abstractNumId w:val="19"/>
  </w:num>
  <w:num w:numId="32">
    <w:abstractNumId w:val="29"/>
  </w:num>
  <w:num w:numId="33">
    <w:abstractNumId w:val="8"/>
  </w:num>
  <w:num w:numId="34">
    <w:abstractNumId w:val="17"/>
  </w:num>
  <w:num w:numId="35">
    <w:abstractNumId w:val="26"/>
  </w:num>
  <w:num w:numId="36">
    <w:abstractNumId w:val="34"/>
  </w:num>
  <w:num w:numId="37">
    <w:abstractNumId w:val="25"/>
  </w:num>
  <w:num w:numId="38">
    <w:abstractNumId w:val="3"/>
  </w:num>
  <w:num w:numId="39">
    <w:abstractNumId w:val="9"/>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C"/>
    <w:rsid w:val="00013B07"/>
    <w:rsid w:val="00043BFC"/>
    <w:rsid w:val="0005548D"/>
    <w:rsid w:val="00061C31"/>
    <w:rsid w:val="000665EF"/>
    <w:rsid w:val="000B6AEB"/>
    <w:rsid w:val="000B6EED"/>
    <w:rsid w:val="000C410F"/>
    <w:rsid w:val="000D1478"/>
    <w:rsid w:val="000D79EB"/>
    <w:rsid w:val="000F270B"/>
    <w:rsid w:val="00106802"/>
    <w:rsid w:val="001B2798"/>
    <w:rsid w:val="001B289E"/>
    <w:rsid w:val="001B2EE6"/>
    <w:rsid w:val="001C5640"/>
    <w:rsid w:val="001E3EC5"/>
    <w:rsid w:val="00207CD5"/>
    <w:rsid w:val="0027748C"/>
    <w:rsid w:val="002A0BD7"/>
    <w:rsid w:val="002C00EA"/>
    <w:rsid w:val="002C3232"/>
    <w:rsid w:val="002C61E0"/>
    <w:rsid w:val="002D7F3E"/>
    <w:rsid w:val="002F3064"/>
    <w:rsid w:val="003306E3"/>
    <w:rsid w:val="00332EB7"/>
    <w:rsid w:val="00335D5B"/>
    <w:rsid w:val="003365AA"/>
    <w:rsid w:val="00344465"/>
    <w:rsid w:val="00352DF9"/>
    <w:rsid w:val="00384ABD"/>
    <w:rsid w:val="00396E08"/>
    <w:rsid w:val="003D3F5A"/>
    <w:rsid w:val="003F0599"/>
    <w:rsid w:val="003F47CF"/>
    <w:rsid w:val="004018BD"/>
    <w:rsid w:val="00426756"/>
    <w:rsid w:val="00430C33"/>
    <w:rsid w:val="00450C17"/>
    <w:rsid w:val="00467E98"/>
    <w:rsid w:val="00481FAF"/>
    <w:rsid w:val="004A7C2A"/>
    <w:rsid w:val="004C079F"/>
    <w:rsid w:val="004D686B"/>
    <w:rsid w:val="004E411F"/>
    <w:rsid w:val="004E53D7"/>
    <w:rsid w:val="0057163D"/>
    <w:rsid w:val="00575E58"/>
    <w:rsid w:val="00584B2A"/>
    <w:rsid w:val="00595C67"/>
    <w:rsid w:val="005A229A"/>
    <w:rsid w:val="005C351B"/>
    <w:rsid w:val="006016C9"/>
    <w:rsid w:val="00626565"/>
    <w:rsid w:val="00640BA7"/>
    <w:rsid w:val="006458CB"/>
    <w:rsid w:val="00651832"/>
    <w:rsid w:val="006F5ED3"/>
    <w:rsid w:val="00702DFE"/>
    <w:rsid w:val="00762CAA"/>
    <w:rsid w:val="007661CF"/>
    <w:rsid w:val="007832FA"/>
    <w:rsid w:val="007A713D"/>
    <w:rsid w:val="008174E0"/>
    <w:rsid w:val="008201F6"/>
    <w:rsid w:val="0086040D"/>
    <w:rsid w:val="00890388"/>
    <w:rsid w:val="00894BD7"/>
    <w:rsid w:val="008A28FE"/>
    <w:rsid w:val="008B3748"/>
    <w:rsid w:val="008B7072"/>
    <w:rsid w:val="00920DBD"/>
    <w:rsid w:val="00944D3C"/>
    <w:rsid w:val="00956CB9"/>
    <w:rsid w:val="00963D6E"/>
    <w:rsid w:val="009759E8"/>
    <w:rsid w:val="00976925"/>
    <w:rsid w:val="009820F1"/>
    <w:rsid w:val="009A130F"/>
    <w:rsid w:val="009A21C3"/>
    <w:rsid w:val="009B74BC"/>
    <w:rsid w:val="00A42095"/>
    <w:rsid w:val="00A56A01"/>
    <w:rsid w:val="00A745F8"/>
    <w:rsid w:val="00AA6637"/>
    <w:rsid w:val="00AD06A9"/>
    <w:rsid w:val="00B05EA0"/>
    <w:rsid w:val="00B146EA"/>
    <w:rsid w:val="00B5043C"/>
    <w:rsid w:val="00B511DC"/>
    <w:rsid w:val="00B65618"/>
    <w:rsid w:val="00B70BD7"/>
    <w:rsid w:val="00B94A25"/>
    <w:rsid w:val="00BD385D"/>
    <w:rsid w:val="00BF61D6"/>
    <w:rsid w:val="00C714FB"/>
    <w:rsid w:val="00C82523"/>
    <w:rsid w:val="00CD08AA"/>
    <w:rsid w:val="00CE3648"/>
    <w:rsid w:val="00CF556E"/>
    <w:rsid w:val="00D0537F"/>
    <w:rsid w:val="00D16A6E"/>
    <w:rsid w:val="00D44E98"/>
    <w:rsid w:val="00D55B97"/>
    <w:rsid w:val="00D63F1C"/>
    <w:rsid w:val="00D97105"/>
    <w:rsid w:val="00DB489B"/>
    <w:rsid w:val="00DB682A"/>
    <w:rsid w:val="00DC7351"/>
    <w:rsid w:val="00DD71F8"/>
    <w:rsid w:val="00DE36AC"/>
    <w:rsid w:val="00E1296F"/>
    <w:rsid w:val="00E3492B"/>
    <w:rsid w:val="00E47684"/>
    <w:rsid w:val="00E54832"/>
    <w:rsid w:val="00E7679F"/>
    <w:rsid w:val="00E96733"/>
    <w:rsid w:val="00EE5A19"/>
    <w:rsid w:val="00F67988"/>
    <w:rsid w:val="00F74ACD"/>
    <w:rsid w:val="00F77674"/>
    <w:rsid w:val="00F86ED1"/>
    <w:rsid w:val="00F91964"/>
    <w:rsid w:val="00F95067"/>
    <w:rsid w:val="00FB3A57"/>
    <w:rsid w:val="00FD2453"/>
    <w:rsid w:val="00FD4E8B"/>
    <w:rsid w:val="00FF3460"/>
    <w:rsid w:val="038B3CC2"/>
    <w:rsid w:val="5A1D57C9"/>
    <w:rsid w:val="5DB29E3B"/>
    <w:rsid w:val="7C9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F6E21F"/>
  <w15:docId w15:val="{711CB9BB-D346-4538-AFD5-24A5062D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23"/>
      <w:szCs w:val="23"/>
    </w:rPr>
  </w:style>
  <w:style w:type="paragraph" w:styleId="Heading4">
    <w:name w:val="heading 4"/>
    <w:basedOn w:val="Normal"/>
    <w:next w:val="Normal"/>
    <w:link w:val="Heading4Char"/>
    <w:uiPriority w:val="99"/>
    <w:qFormat/>
    <w:pPr>
      <w:keepNext/>
      <w:outlineLvl w:val="3"/>
    </w:pPr>
    <w:rPr>
      <w:i/>
      <w:iCs/>
    </w:rPr>
  </w:style>
  <w:style w:type="paragraph" w:styleId="Heading5">
    <w:name w:val="heading 5"/>
    <w:basedOn w:val="Normal"/>
    <w:next w:val="Normal"/>
    <w:link w:val="Heading5Char"/>
    <w:uiPriority w:val="99"/>
    <w:qFormat/>
    <w:pPr>
      <w:keepNext/>
      <w:jc w:val="center"/>
      <w:outlineLvl w:val="4"/>
    </w:pPr>
    <w:rPr>
      <w:i/>
      <w:iCs/>
    </w:rPr>
  </w:style>
  <w:style w:type="paragraph" w:styleId="Heading6">
    <w:name w:val="heading 6"/>
    <w:basedOn w:val="Normal"/>
    <w:next w:val="Normal"/>
    <w:link w:val="Heading6Char"/>
    <w:uiPriority w:val="99"/>
    <w:qFormat/>
    <w:pPr>
      <w:keepNext/>
      <w:outlineLvl w:val="5"/>
    </w:pPr>
    <w:rPr>
      <w:sz w:val="22"/>
      <w:szCs w:val="22"/>
      <w:u w:val="single"/>
    </w:rPr>
  </w:style>
  <w:style w:type="paragraph" w:styleId="Heading8">
    <w:name w:val="heading 8"/>
    <w:basedOn w:val="Normal"/>
    <w:next w:val="Normal"/>
    <w:link w:val="Heading8Char"/>
    <w:uiPriority w:val="99"/>
    <w:qFormat/>
    <w:pPr>
      <w:keepNext/>
      <w:ind w:left="360"/>
      <w:outlineLvl w:val="7"/>
    </w:pPr>
    <w:rPr>
      <w:i/>
      <w:iCs/>
      <w:u w:val="single"/>
    </w:rPr>
  </w:style>
  <w:style w:type="paragraph" w:styleId="Heading9">
    <w:name w:val="heading 9"/>
    <w:basedOn w:val="Normal"/>
    <w:next w:val="Normal"/>
    <w:link w:val="Heading9Char"/>
    <w:uiPriority w:val="99"/>
    <w:qFormat/>
    <w:pPr>
      <w:keepNext/>
      <w:ind w:firstLine="360"/>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Title">
    <w:name w:val="Title"/>
    <w:basedOn w:val="Normal"/>
    <w:link w:val="TitleChar"/>
    <w:uiPriority w:val="99"/>
    <w:qFormat/>
    <w:pPr>
      <w:tabs>
        <w:tab w:val="left" w:pos="1080"/>
        <w:tab w:val="left" w:pos="1267"/>
      </w:tabs>
      <w:jc w:val="center"/>
      <w:outlineLvl w:val="0"/>
    </w:pPr>
    <w:rPr>
      <w:rFonts w:ascii="Arial" w:hAnsi="Arial" w:cs="Arial"/>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BodyText">
    <w:name w:val="Body Text"/>
    <w:basedOn w:val="Normal"/>
    <w:link w:val="BodyTextChar"/>
    <w:uiPriority w:val="99"/>
    <w:rPr>
      <w:rFonts w:cs="Times New Roman"/>
      <w:b/>
      <w:bCs/>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rPr>
      <w:rFonts w:cs="Times New Roman"/>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lockText">
    <w:name w:val="Block Text"/>
    <w:basedOn w:val="Normal"/>
    <w:uiPriority w:val="99"/>
    <w:pPr>
      <w:ind w:left="900" w:right="900"/>
    </w:pPr>
    <w:rPr>
      <w:rFonts w:cs="Times New Roman"/>
      <w:sz w:val="18"/>
      <w:szCs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Emphasis">
    <w:name w:val="Emphasis"/>
    <w:basedOn w:val="DefaultParagraphFont"/>
    <w:uiPriority w:val="99"/>
    <w:qFormat/>
    <w:rPr>
      <w:rFonts w:ascii="Times New Roman" w:hAnsi="Times New Roman" w:cs="Times New Roman"/>
      <w:i/>
      <w:iCs/>
    </w:rPr>
  </w:style>
  <w:style w:type="paragraph" w:styleId="ListParagraph">
    <w:name w:val="List Paragraph"/>
    <w:basedOn w:val="Normal"/>
    <w:uiPriority w:val="34"/>
    <w:qFormat/>
    <w:pPr>
      <w:ind w:left="720"/>
    </w:pPr>
    <w:rPr>
      <w:rFonts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rPr>
  </w:style>
  <w:style w:type="paragraph" w:styleId="BodyTextIndent2">
    <w:name w:val="Body Text Indent 2"/>
    <w:basedOn w:val="Normal"/>
    <w:link w:val="BodyTextIndent2Char"/>
    <w:uiPriority w:val="99"/>
    <w:pPr>
      <w:widowControl w:val="0"/>
      <w:ind w:left="432"/>
    </w:pPr>
    <w:rPr>
      <w:rFonts w:cs="Times New Roman"/>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Indent3">
    <w:name w:val="Body Text Indent 3"/>
    <w:basedOn w:val="Normal"/>
    <w:link w:val="BodyTextIndent3Char"/>
    <w:uiPriority w:val="99"/>
    <w:pPr>
      <w:tabs>
        <w:tab w:val="left" w:pos="0"/>
        <w:tab w:val="left" w:pos="1080"/>
      </w:tabs>
      <w:ind w:right="90" w:hanging="1267"/>
    </w:pPr>
    <w:rPr>
      <w:rFonts w:cs="Times New Roman"/>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customStyle="1" w:styleId="Default">
    <w:name w:val="Default"/>
    <w:rsid w:val="008B7072"/>
    <w:pPr>
      <w:autoSpaceDE w:val="0"/>
      <w:autoSpaceDN w:val="0"/>
      <w:adjustRightInd w:val="0"/>
    </w:pPr>
    <w:rPr>
      <w:rFonts w:ascii="Futura Bk BT" w:eastAsia="Times New Roman" w:hAnsi="Futura Bk BT" w:cs="Futura Bk BT"/>
      <w:color w:val="000000"/>
      <w:sz w:val="24"/>
      <w:szCs w:val="24"/>
    </w:rPr>
  </w:style>
  <w:style w:type="paragraph" w:styleId="BodyTextIndent">
    <w:name w:val="Body Text Indent"/>
    <w:basedOn w:val="Normal"/>
    <w:link w:val="BodyTextIndentChar"/>
    <w:uiPriority w:val="99"/>
    <w:unhideWhenUsed/>
    <w:rsid w:val="00344465"/>
    <w:pPr>
      <w:spacing w:after="120"/>
      <w:ind w:left="360"/>
    </w:pPr>
  </w:style>
  <w:style w:type="character" w:customStyle="1" w:styleId="BodyTextIndentChar">
    <w:name w:val="Body Text Indent Char"/>
    <w:basedOn w:val="DefaultParagraphFont"/>
    <w:link w:val="BodyTextIndent"/>
    <w:uiPriority w:val="99"/>
    <w:rsid w:val="0034446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7251">
      <w:bodyDiv w:val="1"/>
      <w:marLeft w:val="0"/>
      <w:marRight w:val="0"/>
      <w:marTop w:val="0"/>
      <w:marBottom w:val="0"/>
      <w:divBdr>
        <w:top w:val="none" w:sz="0" w:space="0" w:color="auto"/>
        <w:left w:val="none" w:sz="0" w:space="0" w:color="auto"/>
        <w:bottom w:val="none" w:sz="0" w:space="0" w:color="auto"/>
        <w:right w:val="none" w:sz="0" w:space="0" w:color="auto"/>
      </w:divBdr>
    </w:div>
    <w:div w:id="1184981601">
      <w:bodyDiv w:val="1"/>
      <w:marLeft w:val="0"/>
      <w:marRight w:val="0"/>
      <w:marTop w:val="0"/>
      <w:marBottom w:val="0"/>
      <w:divBdr>
        <w:top w:val="none" w:sz="0" w:space="0" w:color="auto"/>
        <w:left w:val="none" w:sz="0" w:space="0" w:color="auto"/>
        <w:bottom w:val="none" w:sz="0" w:space="0" w:color="auto"/>
        <w:right w:val="none" w:sz="0" w:space="0" w:color="auto"/>
      </w:divBdr>
    </w:div>
    <w:div w:id="1562669453">
      <w:bodyDiv w:val="1"/>
      <w:marLeft w:val="0"/>
      <w:marRight w:val="0"/>
      <w:marTop w:val="0"/>
      <w:marBottom w:val="0"/>
      <w:divBdr>
        <w:top w:val="none" w:sz="0" w:space="0" w:color="auto"/>
        <w:left w:val="none" w:sz="0" w:space="0" w:color="auto"/>
        <w:bottom w:val="none" w:sz="0" w:space="0" w:color="auto"/>
        <w:right w:val="none" w:sz="0" w:space="0" w:color="auto"/>
      </w:divBdr>
      <w:divsChild>
        <w:div w:id="206841531">
          <w:marLeft w:val="0"/>
          <w:marRight w:val="0"/>
          <w:marTop w:val="0"/>
          <w:marBottom w:val="0"/>
          <w:divBdr>
            <w:top w:val="none" w:sz="0" w:space="0" w:color="auto"/>
            <w:left w:val="none" w:sz="0" w:space="0" w:color="auto"/>
            <w:bottom w:val="none" w:sz="0" w:space="0" w:color="auto"/>
            <w:right w:val="none" w:sz="0" w:space="0" w:color="auto"/>
          </w:divBdr>
          <w:divsChild>
            <w:div w:id="1105266432">
              <w:marLeft w:val="0"/>
              <w:marRight w:val="0"/>
              <w:marTop w:val="0"/>
              <w:marBottom w:val="0"/>
              <w:divBdr>
                <w:top w:val="none" w:sz="0" w:space="0" w:color="auto"/>
                <w:left w:val="none" w:sz="0" w:space="0" w:color="auto"/>
                <w:bottom w:val="none" w:sz="0" w:space="0" w:color="auto"/>
                <w:right w:val="none" w:sz="0" w:space="0" w:color="auto"/>
              </w:divBdr>
              <w:divsChild>
                <w:div w:id="225848241">
                  <w:marLeft w:val="600"/>
                  <w:marRight w:val="240"/>
                  <w:marTop w:val="240"/>
                  <w:marBottom w:val="240"/>
                  <w:divBdr>
                    <w:top w:val="none" w:sz="0" w:space="0" w:color="auto"/>
                    <w:left w:val="none" w:sz="0" w:space="0" w:color="auto"/>
                    <w:bottom w:val="none" w:sz="0" w:space="0" w:color="auto"/>
                    <w:right w:val="none" w:sz="0" w:space="0" w:color="auto"/>
                  </w:divBdr>
                  <w:divsChild>
                    <w:div w:id="1380400393">
                      <w:marLeft w:val="0"/>
                      <w:marRight w:val="0"/>
                      <w:marTop w:val="43"/>
                      <w:marBottom w:val="43"/>
                      <w:divBdr>
                        <w:top w:val="none" w:sz="0" w:space="0" w:color="auto"/>
                        <w:left w:val="none" w:sz="0" w:space="0" w:color="auto"/>
                        <w:bottom w:val="none" w:sz="0" w:space="0" w:color="auto"/>
                        <w:right w:val="none" w:sz="0" w:space="0" w:color="auto"/>
                      </w:divBdr>
                    </w:div>
                    <w:div w:id="188107459">
                      <w:marLeft w:val="0"/>
                      <w:marRight w:val="0"/>
                      <w:marTop w:val="43"/>
                      <w:marBottom w:val="43"/>
                      <w:divBdr>
                        <w:top w:val="none" w:sz="0" w:space="0" w:color="auto"/>
                        <w:left w:val="none" w:sz="0" w:space="0" w:color="auto"/>
                        <w:bottom w:val="none" w:sz="0" w:space="0" w:color="auto"/>
                        <w:right w:val="none" w:sz="0" w:space="0" w:color="auto"/>
                      </w:divBdr>
                    </w:div>
                    <w:div w:id="951204426">
                      <w:marLeft w:val="0"/>
                      <w:marRight w:val="0"/>
                      <w:marTop w:val="43"/>
                      <w:marBottom w:val="43"/>
                      <w:divBdr>
                        <w:top w:val="none" w:sz="0" w:space="0" w:color="auto"/>
                        <w:left w:val="none" w:sz="0" w:space="0" w:color="auto"/>
                        <w:bottom w:val="none" w:sz="0" w:space="0" w:color="auto"/>
                        <w:right w:val="none" w:sz="0" w:space="0" w:color="auto"/>
                      </w:divBdr>
                    </w:div>
                    <w:div w:id="996612141">
                      <w:marLeft w:val="0"/>
                      <w:marRight w:val="0"/>
                      <w:marTop w:val="43"/>
                      <w:marBottom w:val="43"/>
                      <w:divBdr>
                        <w:top w:val="none" w:sz="0" w:space="0" w:color="auto"/>
                        <w:left w:val="none" w:sz="0" w:space="0" w:color="auto"/>
                        <w:bottom w:val="none" w:sz="0" w:space="0" w:color="auto"/>
                        <w:right w:val="none" w:sz="0" w:space="0" w:color="auto"/>
                      </w:divBdr>
                    </w:div>
                    <w:div w:id="407773253">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766613534">
      <w:bodyDiv w:val="1"/>
      <w:marLeft w:val="0"/>
      <w:marRight w:val="0"/>
      <w:marTop w:val="0"/>
      <w:marBottom w:val="0"/>
      <w:divBdr>
        <w:top w:val="none" w:sz="0" w:space="0" w:color="auto"/>
        <w:left w:val="none" w:sz="0" w:space="0" w:color="auto"/>
        <w:bottom w:val="none" w:sz="0" w:space="0" w:color="auto"/>
        <w:right w:val="none" w:sz="0" w:space="0" w:color="auto"/>
      </w:divBdr>
    </w:div>
    <w:div w:id="19131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legis.wisconsin.gov/document/statutes/66.0901(1m)(a)2." TargetMode="External"/><Relationship Id="rId18" Type="http://schemas.openxmlformats.org/officeDocument/2006/relationships/hyperlink" Target="https://www.acquisition.gov/sites/default/files/current/far/html/Subpart%2016_4.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quisition.gov/sites/default/files/current/far/html/FARTOCP12.html" TargetMode="External"/><Relationship Id="rId7" Type="http://schemas.openxmlformats.org/officeDocument/2006/relationships/settings" Target="settings.xml"/><Relationship Id="rId12" Type="http://schemas.openxmlformats.org/officeDocument/2006/relationships/hyperlink" Target="http://docs.legis.wisconsin.gov/document/statutes/66.0901(1m)(a)1." TargetMode="External"/><Relationship Id="rId17" Type="http://schemas.openxmlformats.org/officeDocument/2006/relationships/hyperlink" Target="https://www.acquisition.gov/sites/default/files/current/far/html/Subpart%2016_4.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quisition.gov/sites/default/files/current/far/html/Subpart%2012_2.html" TargetMode="External"/><Relationship Id="rId20" Type="http://schemas.openxmlformats.org/officeDocument/2006/relationships/hyperlink" Target="https://www.acquisition.gov/sites/default/files/current/far/html/FARTOCP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document/statutes/66.0901(1m)(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quisition.gov/sites/default/files/current/far/html/Subpart%2031_2.html" TargetMode="Externa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s://www.acquisition.gov/sites/default/files/current/far/html/Subpart%2016_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legis.wisconsin.gov/document/statutes/66.0901(1m)(b)" TargetMode="External"/><Relationship Id="rId22" Type="http://schemas.openxmlformats.org/officeDocument/2006/relationships/hyperlink" Target="https://www.acquisition.gov/sites/default/files/current/far/html/FARTOCP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5757a97796bd9132c06772262b4b5b5e">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c540e6399aaa51c8772c35c82fa880bb"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A612-4299-40A0-8572-729BF3D3391E}">
  <ds:schemaRefs>
    <ds:schemaRef ds:uri="http://schemas.microsoft.com/sharepoint/v3/contenttype/forms"/>
  </ds:schemaRefs>
</ds:datastoreItem>
</file>

<file path=customXml/itemProps2.xml><?xml version="1.0" encoding="utf-8"?>
<ds:datastoreItem xmlns:ds="http://schemas.openxmlformats.org/officeDocument/2006/customXml" ds:itemID="{E54748DA-3975-4075-8792-97220A624CE6}">
  <ds:schemaRefs>
    <ds:schemaRef ds:uri="http://schemas.microsoft.com/office/2006/metadata/properties"/>
    <ds:schemaRef ds:uri="http://schemas.microsoft.com/office/2006/documentManagement/types"/>
    <ds:schemaRef ds:uri="http://purl.org/dc/dcmitype/"/>
    <ds:schemaRef ds:uri="http://purl.org/dc/terms/"/>
    <ds:schemaRef ds:uri="8b29e8de-ae70-46cf-8021-b61553d83343"/>
    <ds:schemaRef ds:uri="http://purl.org/dc/elements/1.1/"/>
    <ds:schemaRef ds:uri="8ccd422b-0679-414e-b98a-319e9960e8f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D8D84E3-BA32-4913-9A08-7C78DC11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CD4D2-1327-4762-988D-013A5540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-COUNTY OF MILWAUKEE-</vt:lpstr>
    </vt:vector>
  </TitlesOfParts>
  <Company>Milwaukee County</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MILWAUKEE-</dc:title>
  <dc:subject/>
  <dc:creator>vanessaallen</dc:creator>
  <cp:keywords/>
  <dc:description/>
  <cp:lastModifiedBy>Sebastian, Nancy</cp:lastModifiedBy>
  <cp:revision>2</cp:revision>
  <cp:lastPrinted>2015-10-02T20:48:00Z</cp:lastPrinted>
  <dcterms:created xsi:type="dcterms:W3CDTF">2016-01-04T18:55:00Z</dcterms:created>
  <dcterms:modified xsi:type="dcterms:W3CDTF">2016-01-04T18:55:00Z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