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300" w:type="dxa"/>
        <w:tblBorders>
          <w:top w:val="single" w:sz="24" w:space="0" w:color="44546A" w:themeColor="text2"/>
          <w:left w:val="single" w:sz="24" w:space="0" w:color="44546A" w:themeColor="text2"/>
          <w:bottom w:val="single" w:sz="24" w:space="0" w:color="44546A" w:themeColor="text2"/>
          <w:right w:val="single" w:sz="24" w:space="0" w:color="44546A" w:themeColor="text2"/>
          <w:insideH w:val="single" w:sz="24" w:space="0" w:color="44546A" w:themeColor="text2"/>
          <w:insideV w:val="single" w:sz="24" w:space="0" w:color="44546A" w:themeColor="text2"/>
        </w:tblBorders>
        <w:tblLook w:val="04A0" w:firstRow="1" w:lastRow="0" w:firstColumn="1" w:lastColumn="0" w:noHBand="0" w:noVBand="1"/>
      </w:tblPr>
      <w:tblGrid>
        <w:gridCol w:w="11340"/>
      </w:tblGrid>
      <w:tr w:rsidR="00EC65AB" w:rsidTr="00EC65AB">
        <w:tc>
          <w:tcPr>
            <w:tcW w:w="11340" w:type="dxa"/>
          </w:tcPr>
          <w:p w:rsidR="00EC65AB" w:rsidRPr="00EC65AB" w:rsidRDefault="00EC65AB" w:rsidP="00EC65AB">
            <w:pPr>
              <w:rPr>
                <w:b/>
                <w:sz w:val="32"/>
                <w:szCs w:val="32"/>
              </w:rPr>
            </w:pPr>
            <w:r w:rsidRPr="00EC65A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921E0B" wp14:editId="349764CA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123825</wp:posOffset>
                  </wp:positionV>
                  <wp:extent cx="1200150" cy="1200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CntySealw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65AB">
              <w:rPr>
                <w:b/>
                <w:sz w:val="32"/>
                <w:szCs w:val="32"/>
              </w:rPr>
              <w:t xml:space="preserve"> </w:t>
            </w:r>
          </w:p>
          <w:p w:rsidR="00EC65AB" w:rsidRDefault="00EC65AB" w:rsidP="00EC65AB"/>
          <w:p w:rsidR="00EC65AB" w:rsidRDefault="00EC65AB" w:rsidP="00EC65AB"/>
          <w:p w:rsidR="00EC65AB" w:rsidRDefault="004C6C23" w:rsidP="00EC65AB">
            <w:pPr>
              <w:ind w:left="1440"/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850360">
              <w:rPr>
                <w:b/>
                <w:sz w:val="32"/>
                <w:szCs w:val="32"/>
              </w:rPr>
              <w:t>MASS EMAIL COMMUNICATION DIRECTIVE</w:t>
            </w:r>
          </w:p>
          <w:p w:rsidR="00EC65AB" w:rsidRPr="00EC65AB" w:rsidRDefault="00EC65AB" w:rsidP="00EC65AB">
            <w:pPr>
              <w:ind w:left="720"/>
            </w:pPr>
            <w:r w:rsidRPr="00EC65AB">
              <w:br w:type="page"/>
            </w:r>
          </w:p>
          <w:p w:rsidR="00EC65AB" w:rsidRDefault="00EC65AB"/>
          <w:p w:rsidR="004C6C23" w:rsidRPr="0070767A" w:rsidRDefault="004C6C23" w:rsidP="004C6C23">
            <w:pPr>
              <w:rPr>
                <w:sz w:val="28"/>
                <w:szCs w:val="28"/>
              </w:rPr>
            </w:pPr>
          </w:p>
          <w:p w:rsidR="004C6C23" w:rsidRPr="00AC6C1B" w:rsidRDefault="004C6C23" w:rsidP="004C6C23">
            <w:pPr>
              <w:ind w:left="72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C6C1B">
              <w:rPr>
                <w:rFonts w:ascii="Calibri" w:eastAsia="Times New Roman" w:hAnsi="Calibri" w:cs="Calibri"/>
                <w:b/>
                <w:sz w:val="24"/>
                <w:szCs w:val="24"/>
              </w:rPr>
              <w:t>What is Mass Email?</w:t>
            </w:r>
          </w:p>
          <w:p w:rsidR="004C6C23" w:rsidRPr="0070767A" w:rsidRDefault="004C6C23" w:rsidP="004C6C23">
            <w:pPr>
              <w:ind w:left="72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</w:rPr>
              <w:t xml:space="preserve">Milwaukee County has the capability to select and distribute information to a large number of employees and stakeholders through mass email messaging (email blasts).  A mass email is an email message sent to a large distribution of recipients with the sole intent to communicate to employees, contractors and County business </w:t>
            </w:r>
            <w:proofErr w:type="gramStart"/>
            <w:r w:rsidRPr="0070767A">
              <w:rPr>
                <w:rFonts w:ascii="Calibri" w:eastAsia="Times New Roman" w:hAnsi="Calibri" w:cs="Calibri"/>
              </w:rPr>
              <w:t>partners</w:t>
            </w:r>
            <w:proofErr w:type="gramEnd"/>
            <w:r w:rsidRPr="0070767A">
              <w:rPr>
                <w:rFonts w:ascii="Calibri" w:eastAsia="Times New Roman" w:hAnsi="Calibri" w:cs="Calibri"/>
              </w:rPr>
              <w:t> important information regarding County related business.  </w:t>
            </w:r>
            <w:r w:rsidR="00850360">
              <w:rPr>
                <w:rFonts w:ascii="Calibri" w:eastAsia="Times New Roman" w:hAnsi="Calibri" w:cs="Calibri"/>
              </w:rPr>
              <w:t>Messages impacted by this directive</w:t>
            </w:r>
            <w:r w:rsidRPr="0070767A">
              <w:rPr>
                <w:rFonts w:ascii="Calibri" w:eastAsia="Times New Roman" w:hAnsi="Calibri" w:cs="Calibri"/>
              </w:rPr>
              <w:t xml:space="preserve"> are defined as any message that will be of credible interest to a</w:t>
            </w:r>
            <w:r w:rsidRPr="0070767A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70767A">
              <w:rPr>
                <w:rFonts w:ascii="Calibri" w:eastAsia="Times New Roman" w:hAnsi="Calibri" w:cs="Calibri"/>
                <w:iCs/>
              </w:rPr>
              <w:t>majority of County email recipients.</w:t>
            </w:r>
            <w:r w:rsidRPr="0070767A" w:rsidDel="00062456">
              <w:rPr>
                <w:rFonts w:ascii="Calibri" w:eastAsia="Times New Roman" w:hAnsi="Calibri" w:cs="Calibri"/>
              </w:rPr>
              <w:t xml:space="preserve"> </w:t>
            </w:r>
          </w:p>
          <w:p w:rsidR="004C6C23" w:rsidRPr="0070767A" w:rsidRDefault="004C6C23" w:rsidP="004C6C23">
            <w:pPr>
              <w:ind w:left="720"/>
              <w:rPr>
                <w:rFonts w:ascii="Calibri" w:eastAsia="Times New Roman" w:hAnsi="Calibri" w:cs="Calibri"/>
              </w:rPr>
            </w:pPr>
          </w:p>
          <w:p w:rsidR="004C6C23" w:rsidRPr="00DC53AB" w:rsidRDefault="004C6C23" w:rsidP="004C6C23">
            <w:pPr>
              <w:ind w:left="72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C6C1B">
              <w:rPr>
                <w:rFonts w:ascii="Calibri" w:eastAsia="Times New Roman" w:hAnsi="Calibri" w:cs="Calibri"/>
                <w:b/>
                <w:sz w:val="24"/>
                <w:szCs w:val="24"/>
              </w:rPr>
              <w:t>Mass Email Content</w:t>
            </w:r>
          </w:p>
          <w:p w:rsidR="004C6C23" w:rsidRDefault="004C6C23" w:rsidP="004C6C23">
            <w:pPr>
              <w:ind w:left="72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</w:rPr>
              <w:t xml:space="preserve">I. </w:t>
            </w:r>
            <w:r w:rsidRPr="00AC6C1B">
              <w:rPr>
                <w:rFonts w:ascii="Calibri" w:eastAsia="Times New Roman" w:hAnsi="Calibri" w:cs="Calibri"/>
                <w:u w:val="single"/>
              </w:rPr>
              <w:t>Formal County Business Related Communication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:rsidR="004C6C23" w:rsidRPr="0070767A" w:rsidRDefault="004C6C23" w:rsidP="004C6C23">
            <w:pPr>
              <w:ind w:left="72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</w:rPr>
              <w:t>A mass email message should contain County related business such as:</w:t>
            </w:r>
          </w:p>
          <w:p w:rsidR="004C6C23" w:rsidRPr="0070767A" w:rsidRDefault="004C6C23" w:rsidP="004C6C23">
            <w:pPr>
              <w:numPr>
                <w:ilvl w:val="0"/>
                <w:numId w:val="12"/>
              </w:numPr>
              <w:spacing w:after="100" w:afterAutospacing="1"/>
              <w:ind w:left="144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</w:rPr>
              <w:t>​Announcements from County Administration (Leadership Memos, Budgetary, Health Benefits, etc.)</w:t>
            </w:r>
          </w:p>
          <w:p w:rsidR="004C6C23" w:rsidRPr="0070767A" w:rsidRDefault="004C6C23" w:rsidP="004C6C23">
            <w:pPr>
              <w:numPr>
                <w:ilvl w:val="0"/>
                <w:numId w:val="12"/>
              </w:numPr>
              <w:spacing w:before="100" w:beforeAutospacing="1" w:after="100" w:afterAutospacing="1"/>
              <w:ind w:left="144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</w:rPr>
              <w:t>Announcements of disruption or changes in services (Power, Network Outages, System Outages, etc.)</w:t>
            </w:r>
          </w:p>
          <w:p w:rsidR="004C6C23" w:rsidRPr="0070767A" w:rsidRDefault="004C6C23" w:rsidP="004C6C23">
            <w:pPr>
              <w:numPr>
                <w:ilvl w:val="0"/>
                <w:numId w:val="12"/>
              </w:numPr>
              <w:spacing w:before="100" w:beforeAutospacing="1" w:after="100" w:afterAutospacing="1"/>
              <w:ind w:left="1440"/>
              <w:rPr>
                <w:rFonts w:ascii="Calibri" w:eastAsia="Times New Roman" w:hAnsi="Calibri" w:cs="Calibri"/>
                <w:i/>
              </w:rPr>
            </w:pPr>
            <w:r w:rsidRPr="0070767A">
              <w:rPr>
                <w:rFonts w:ascii="Calibri" w:eastAsia="Times New Roman" w:hAnsi="Calibri" w:cs="Calibri"/>
              </w:rPr>
              <w:t xml:space="preserve">Announcements of official County-wide administrative policies or changes in </w:t>
            </w:r>
            <w:bookmarkStart w:id="0" w:name="_GoBack"/>
            <w:r w:rsidRPr="0070767A">
              <w:rPr>
                <w:rFonts w:ascii="Calibri" w:eastAsia="Times New Roman" w:hAnsi="Calibri" w:cs="Calibri"/>
              </w:rPr>
              <w:t>policies</w:t>
            </w:r>
            <w:bookmarkEnd w:id="0"/>
          </w:p>
          <w:p w:rsidR="004C6C23" w:rsidRPr="0070767A" w:rsidRDefault="004C6C23" w:rsidP="004C6C23">
            <w:pPr>
              <w:numPr>
                <w:ilvl w:val="0"/>
                <w:numId w:val="12"/>
              </w:numPr>
              <w:spacing w:before="100" w:beforeAutospacing="1" w:after="100" w:afterAutospacing="1"/>
              <w:ind w:left="144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</w:rPr>
              <w:t>Other items as deemed appropriate</w:t>
            </w:r>
          </w:p>
          <w:p w:rsidR="004C6C23" w:rsidRPr="0070767A" w:rsidRDefault="004C6C23" w:rsidP="004C6C23">
            <w:pPr>
              <w:ind w:left="72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</w:rPr>
              <w:t xml:space="preserve">II. </w:t>
            </w:r>
            <w:r w:rsidRPr="00AC6C1B">
              <w:rPr>
                <w:rFonts w:ascii="Calibri" w:eastAsia="Times New Roman" w:hAnsi="Calibri" w:cs="Calibri"/>
                <w:u w:val="single"/>
              </w:rPr>
              <w:t>Less Formal Communication and County Related Activities</w:t>
            </w:r>
          </w:p>
          <w:p w:rsidR="004C6C23" w:rsidRPr="0070767A" w:rsidRDefault="004C6C23" w:rsidP="004C6C23">
            <w:pPr>
              <w:ind w:left="72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</w:rPr>
              <w:t>There are times when, less formal County-wide communication is acceptable.  This type of communication consists of:</w:t>
            </w:r>
          </w:p>
          <w:p w:rsidR="004C6C23" w:rsidRPr="0070767A" w:rsidRDefault="004C6C23" w:rsidP="004C6C23">
            <w:pPr>
              <w:pStyle w:val="ListParagraph"/>
              <w:numPr>
                <w:ilvl w:val="0"/>
                <w:numId w:val="13"/>
              </w:numPr>
              <w:ind w:left="144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</w:rPr>
              <w:t>Announcements of County-wide events (ex: annual County Kickball Tournament, County Sponsored Walk/Run, Holiday Tree Lighting, etc.)</w:t>
            </w:r>
          </w:p>
          <w:p w:rsidR="004C6C23" w:rsidRPr="0070767A" w:rsidRDefault="004C6C23" w:rsidP="004C6C23">
            <w:pPr>
              <w:numPr>
                <w:ilvl w:val="0"/>
                <w:numId w:val="12"/>
              </w:numPr>
              <w:ind w:left="144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</w:rPr>
              <w:t>Announcement of Department sponsored events (ex: Zoo A la Carte, Fall Golf Specials, etc.)</w:t>
            </w:r>
          </w:p>
          <w:p w:rsidR="004C6C23" w:rsidRPr="0070767A" w:rsidRDefault="004C6C23" w:rsidP="004C6C23">
            <w:pPr>
              <w:numPr>
                <w:ilvl w:val="0"/>
                <w:numId w:val="12"/>
              </w:numPr>
              <w:spacing w:before="100" w:beforeAutospacing="1" w:after="100" w:afterAutospacing="1"/>
              <w:ind w:left="1440"/>
              <w:rPr>
                <w:rFonts w:ascii="Calibri" w:eastAsia="Times New Roman" w:hAnsi="Calibri" w:cs="Calibri"/>
              </w:rPr>
            </w:pPr>
            <w:r w:rsidRPr="0070767A">
              <w:rPr>
                <w:rFonts w:ascii="Calibri" w:eastAsia="Times New Roman" w:hAnsi="Calibri" w:cs="Calibri"/>
                <w:iCs/>
              </w:rPr>
              <w:t>Announcement of Department of County fundraising efforts (ex: St Ann’s Jewelry Sale, Bake Potato Sale for United Way, etc.)</w:t>
            </w:r>
          </w:p>
          <w:p w:rsidR="004C6C23" w:rsidRPr="00AC6C1B" w:rsidRDefault="004C6C23" w:rsidP="004C6C23">
            <w:pPr>
              <w:ind w:left="72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C6C1B">
              <w:rPr>
                <w:rFonts w:ascii="Calibri" w:eastAsia="Times New Roman" w:hAnsi="Calibri" w:cs="Calibri"/>
                <w:b/>
                <w:sz w:val="24"/>
                <w:szCs w:val="24"/>
              </w:rPr>
              <w:t>Frequency, Approvals and Submission</w:t>
            </w:r>
          </w:p>
          <w:p w:rsidR="004C6C23" w:rsidRPr="0070767A" w:rsidRDefault="004C6C23" w:rsidP="004C6C23">
            <w:pPr>
              <w:pStyle w:val="ListParagraph"/>
              <w:numPr>
                <w:ilvl w:val="0"/>
                <w:numId w:val="11"/>
              </w:numPr>
              <w:ind w:left="1440"/>
            </w:pPr>
            <w:r w:rsidRPr="0070767A">
              <w:t>All mass email message requests should be sent to IMSD via the Service Desk</w:t>
            </w:r>
            <w:r w:rsidRPr="0070767A" w:rsidDel="0050628F">
              <w:t xml:space="preserve"> </w:t>
            </w:r>
          </w:p>
          <w:p w:rsidR="004C6C23" w:rsidRPr="0070767A" w:rsidRDefault="004C6C23" w:rsidP="004C6C23">
            <w:pPr>
              <w:pStyle w:val="ListParagraph"/>
              <w:numPr>
                <w:ilvl w:val="0"/>
                <w:numId w:val="11"/>
              </w:numPr>
              <w:ind w:left="1440"/>
            </w:pPr>
            <w:r w:rsidRPr="0070767A">
              <w:t>E-mail critical in nature and time sensitive will be distributed as required</w:t>
            </w:r>
          </w:p>
          <w:p w:rsidR="004C6C23" w:rsidRPr="0070767A" w:rsidRDefault="004C6C23" w:rsidP="004C6C23">
            <w:pPr>
              <w:pStyle w:val="ListParagraph"/>
              <w:numPr>
                <w:ilvl w:val="0"/>
                <w:numId w:val="11"/>
              </w:numPr>
              <w:ind w:left="1440"/>
            </w:pPr>
            <w:r w:rsidRPr="0070767A">
              <w:t>A communication from any Department that is considered informal must be reviewed and approved by the Department head or their designee before submission. It must include proper grammar and punctuation.</w:t>
            </w:r>
          </w:p>
          <w:p w:rsidR="004C6C23" w:rsidRPr="0070767A" w:rsidRDefault="004C6C23" w:rsidP="004C6C23">
            <w:pPr>
              <w:pStyle w:val="ListParagraph"/>
              <w:numPr>
                <w:ilvl w:val="0"/>
                <w:numId w:val="11"/>
              </w:numPr>
              <w:ind w:left="1440"/>
            </w:pPr>
            <w:r w:rsidRPr="0070767A">
              <w:t>Informal email should include;</w:t>
            </w:r>
          </w:p>
          <w:p w:rsidR="004C6C23" w:rsidRPr="0070767A" w:rsidRDefault="004C6C23" w:rsidP="004C6C23">
            <w:pPr>
              <w:pStyle w:val="ListParagraph"/>
              <w:numPr>
                <w:ilvl w:val="1"/>
                <w:numId w:val="11"/>
              </w:numPr>
              <w:ind w:left="2160"/>
            </w:pPr>
            <w:r w:rsidRPr="0070767A">
              <w:t>The issue or event being communicated</w:t>
            </w:r>
          </w:p>
          <w:p w:rsidR="004C6C23" w:rsidRPr="0070767A" w:rsidRDefault="004C6C23" w:rsidP="004C6C23">
            <w:pPr>
              <w:pStyle w:val="ListParagraph"/>
              <w:numPr>
                <w:ilvl w:val="1"/>
                <w:numId w:val="11"/>
              </w:numPr>
              <w:ind w:left="2160"/>
            </w:pPr>
            <w:r w:rsidRPr="0070767A">
              <w:t>If relevant, the date, time and place of event being communicated</w:t>
            </w:r>
          </w:p>
          <w:p w:rsidR="004C6C23" w:rsidRPr="0070767A" w:rsidRDefault="004C6C23" w:rsidP="004C6C23">
            <w:pPr>
              <w:pStyle w:val="ListParagraph"/>
              <w:numPr>
                <w:ilvl w:val="1"/>
                <w:numId w:val="11"/>
              </w:numPr>
              <w:ind w:left="2160"/>
            </w:pPr>
            <w:r w:rsidRPr="0070767A">
              <w:t>A “headline” with the name of the event or issue</w:t>
            </w:r>
          </w:p>
          <w:p w:rsidR="004C6C23" w:rsidRPr="0070767A" w:rsidRDefault="004C6C23" w:rsidP="004C6C23">
            <w:pPr>
              <w:pStyle w:val="ListParagraph"/>
              <w:numPr>
                <w:ilvl w:val="1"/>
                <w:numId w:val="11"/>
              </w:numPr>
              <w:ind w:left="2160"/>
            </w:pPr>
            <w:r w:rsidRPr="0070767A">
              <w:t>A "cut-line" that describes in a sentence or two what is being communicated</w:t>
            </w:r>
          </w:p>
          <w:p w:rsidR="004C6C23" w:rsidRPr="0070767A" w:rsidRDefault="004C6C23" w:rsidP="004C6C23">
            <w:pPr>
              <w:pStyle w:val="ListParagraph"/>
              <w:numPr>
                <w:ilvl w:val="1"/>
                <w:numId w:val="11"/>
              </w:numPr>
              <w:ind w:left="2160"/>
            </w:pPr>
            <w:r w:rsidRPr="0070767A">
              <w:t xml:space="preserve">If relevant, a web link to where people can find more information </w:t>
            </w:r>
          </w:p>
          <w:p w:rsidR="004C6C23" w:rsidRPr="0070767A" w:rsidRDefault="004C6C23" w:rsidP="004C6C23">
            <w:pPr>
              <w:pStyle w:val="ListParagraph"/>
              <w:numPr>
                <w:ilvl w:val="1"/>
                <w:numId w:val="11"/>
              </w:numPr>
              <w:ind w:left="2160"/>
            </w:pPr>
            <w:r w:rsidRPr="0070767A">
              <w:t>The intended audience.</w:t>
            </w:r>
          </w:p>
          <w:p w:rsidR="004C6C23" w:rsidRPr="0070767A" w:rsidRDefault="004C6C23" w:rsidP="004C6C23">
            <w:pPr>
              <w:pStyle w:val="ListParagraph"/>
              <w:numPr>
                <w:ilvl w:val="1"/>
                <w:numId w:val="11"/>
              </w:numPr>
              <w:ind w:left="2160"/>
            </w:pPr>
            <w:r w:rsidRPr="0070767A">
              <w:t>Example. If the HR Department wants to promote that they are selling candy bars to raise money for the United Way their email to the Service Desk would look like this:</w:t>
            </w:r>
          </w:p>
          <w:p w:rsidR="004C6C23" w:rsidRPr="0070767A" w:rsidRDefault="004C6C23" w:rsidP="004C6C23">
            <w:pPr>
              <w:pStyle w:val="ListParagraph"/>
              <w:numPr>
                <w:ilvl w:val="2"/>
                <w:numId w:val="14"/>
              </w:numPr>
              <w:ind w:left="2880"/>
            </w:pPr>
            <w:r w:rsidRPr="0070767A">
              <w:t>Subject line: “What’s Up” Submission</w:t>
            </w:r>
          </w:p>
          <w:p w:rsidR="004C6C23" w:rsidRPr="0070767A" w:rsidRDefault="004C6C23" w:rsidP="004C6C23">
            <w:pPr>
              <w:pStyle w:val="ListParagraph"/>
              <w:numPr>
                <w:ilvl w:val="2"/>
                <w:numId w:val="14"/>
              </w:numPr>
              <w:ind w:left="2880"/>
            </w:pPr>
            <w:r w:rsidRPr="0070767A">
              <w:t>Headline: Candy Bar’s for Charity!</w:t>
            </w:r>
          </w:p>
          <w:p w:rsidR="004C6C23" w:rsidRPr="0070767A" w:rsidRDefault="004C6C23" w:rsidP="00E17B9A">
            <w:pPr>
              <w:pStyle w:val="ListParagraph"/>
              <w:numPr>
                <w:ilvl w:val="2"/>
                <w:numId w:val="14"/>
              </w:numPr>
              <w:ind w:left="2880"/>
            </w:pPr>
            <w:r w:rsidRPr="0070767A">
              <w:t>Cut-line: The HR Department is selling candy bars to raise money for the United Way. Each candy bar is $1 and there are a lot of different brands to choose from. The candy bars will be for sale in room 203 from November 1 – November 7th. Come by during normal business hours and please bring cash, not check or credit cards accepted.</w:t>
            </w:r>
          </w:p>
          <w:p w:rsidR="004C6C23" w:rsidRDefault="004C6C23" w:rsidP="004C6C23">
            <w:pPr>
              <w:pStyle w:val="ListParagraph"/>
              <w:ind w:left="1440"/>
            </w:pPr>
          </w:p>
          <w:p w:rsidR="004C6C23" w:rsidRDefault="004C6C23" w:rsidP="004C6C23">
            <w:pPr>
              <w:pStyle w:val="ListParagraph"/>
              <w:ind w:left="1440"/>
            </w:pPr>
          </w:p>
          <w:p w:rsidR="004C6C23" w:rsidRDefault="004C6C23" w:rsidP="004C6C23">
            <w:pPr>
              <w:ind w:left="720"/>
            </w:pPr>
          </w:p>
          <w:p w:rsidR="004C6C23" w:rsidRDefault="004C6C23" w:rsidP="004C6C23">
            <w:pPr>
              <w:pStyle w:val="ListParagraph"/>
              <w:ind w:left="1440"/>
            </w:pPr>
          </w:p>
          <w:p w:rsidR="004C6C23" w:rsidRPr="0070767A" w:rsidRDefault="004C6C23" w:rsidP="004C6C23">
            <w:pPr>
              <w:pStyle w:val="ListParagraph"/>
              <w:numPr>
                <w:ilvl w:val="0"/>
                <w:numId w:val="11"/>
              </w:numPr>
              <w:ind w:left="1440"/>
            </w:pPr>
            <w:r w:rsidRPr="0070767A">
              <w:t xml:space="preserve">Informal E-mail will be condensed into one communication and distributed on the Friday of each week.  The communication must be submitted to the Service Desk no later than </w:t>
            </w:r>
            <w:r w:rsidRPr="0070767A">
              <w:rPr>
                <w:b/>
                <w:u w:val="single"/>
              </w:rPr>
              <w:t>5pm the prior Tuesday</w:t>
            </w:r>
            <w:r w:rsidRPr="0070767A">
              <w:t>, in order to be included in a Friday e-mail blast. The communication must include the information laid out above.</w:t>
            </w:r>
          </w:p>
          <w:p w:rsidR="004C6C23" w:rsidRDefault="003E487F" w:rsidP="004C6C23">
            <w:pPr>
              <w:pStyle w:val="ListParagraph"/>
              <w:numPr>
                <w:ilvl w:val="0"/>
                <w:numId w:val="11"/>
              </w:numPr>
              <w:ind w:left="1440"/>
            </w:pPr>
            <w:r>
              <w:t>Approved</w:t>
            </w:r>
            <w:r w:rsidR="004C6C23" w:rsidRPr="0070767A">
              <w:t xml:space="preserve"> requests will </w:t>
            </w:r>
            <w:r>
              <w:t xml:space="preserve">be </w:t>
            </w:r>
            <w:r w:rsidR="004C6C23" w:rsidRPr="0070767A">
              <w:t>collected and se</w:t>
            </w:r>
            <w:r>
              <w:t>nt out in 1 e-mail that will be distributed on Friday of a given week.</w:t>
            </w:r>
          </w:p>
          <w:p w:rsidR="004C6C23" w:rsidRPr="0070767A" w:rsidRDefault="004C6C23" w:rsidP="004C6C23">
            <w:pPr>
              <w:pStyle w:val="ListParagraph"/>
              <w:ind w:left="1440"/>
            </w:pPr>
          </w:p>
          <w:p w:rsidR="004C6C23" w:rsidRPr="00AC6C1B" w:rsidRDefault="004C6C23" w:rsidP="004C6C23">
            <w:pPr>
              <w:spacing w:line="360" w:lineRule="atLeast"/>
              <w:ind w:left="720"/>
              <w:textAlignment w:val="baseline"/>
              <w:rPr>
                <w:b/>
                <w:sz w:val="24"/>
                <w:szCs w:val="24"/>
              </w:rPr>
            </w:pPr>
            <w:r w:rsidRPr="00AC6C1B">
              <w:rPr>
                <w:b/>
                <w:sz w:val="24"/>
                <w:szCs w:val="24"/>
              </w:rPr>
              <w:t>Department/Division Internal Communication</w:t>
            </w:r>
          </w:p>
          <w:p w:rsidR="004C6C23" w:rsidRPr="0070767A" w:rsidRDefault="004C6C23" w:rsidP="004C6C23">
            <w:pPr>
              <w:ind w:left="720"/>
            </w:pPr>
            <w:r w:rsidRPr="0070767A">
              <w:t>County Departments and Divisions, at their own discretion and constrained to their own administrative domains only, may department/division wide  email communications to their own staff regarding announcements, newsletter-type content, or their own governance and business issues. If Departments/ Divisions do not have the capability to send such communications, please contact the Service Desk for assistance.</w:t>
            </w:r>
          </w:p>
          <w:p w:rsidR="004C6C23" w:rsidRDefault="004C6C23" w:rsidP="004C6C23">
            <w:pPr>
              <w:ind w:left="720"/>
            </w:pPr>
          </w:p>
          <w:p w:rsidR="004C6C23" w:rsidRDefault="004C6C23" w:rsidP="004C6C23">
            <w:pPr>
              <w:ind w:left="720"/>
            </w:pPr>
          </w:p>
          <w:p w:rsidR="004C6C23" w:rsidRDefault="004C6C23" w:rsidP="004C6C23">
            <w:pPr>
              <w:ind w:left="720"/>
            </w:pPr>
          </w:p>
          <w:p w:rsidR="004C6C23" w:rsidRDefault="004C6C23" w:rsidP="004C6C23">
            <w:pPr>
              <w:ind w:left="720"/>
            </w:pPr>
          </w:p>
          <w:p w:rsidR="004C6C23" w:rsidRDefault="004C6C23" w:rsidP="004C6C23">
            <w:pPr>
              <w:ind w:left="720"/>
            </w:pPr>
          </w:p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Default="004C6C23" w:rsidP="004C6C23"/>
          <w:p w:rsidR="004C6C23" w:rsidRPr="00AC6C1B" w:rsidRDefault="004C6C23" w:rsidP="004C6C23">
            <w:pPr>
              <w:rPr>
                <w:sz w:val="16"/>
                <w:szCs w:val="16"/>
              </w:rPr>
            </w:pPr>
          </w:p>
          <w:p w:rsidR="004C6C23" w:rsidRPr="00AC6C1B" w:rsidRDefault="00850360" w:rsidP="004C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Issue Date:  January, 2015</w:t>
            </w:r>
          </w:p>
          <w:p w:rsidR="004C6C23" w:rsidRDefault="004C6C23"/>
        </w:tc>
      </w:tr>
    </w:tbl>
    <w:p w:rsidR="00E3077E" w:rsidRDefault="00E3077E"/>
    <w:sectPr w:rsidR="00E3077E" w:rsidSect="00EC6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47E"/>
    <w:multiLevelType w:val="hybridMultilevel"/>
    <w:tmpl w:val="A2F4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8BB"/>
    <w:multiLevelType w:val="hybridMultilevel"/>
    <w:tmpl w:val="3E3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689C"/>
    <w:multiLevelType w:val="hybridMultilevel"/>
    <w:tmpl w:val="F684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55CC"/>
    <w:multiLevelType w:val="hybridMultilevel"/>
    <w:tmpl w:val="8A3C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1E3E"/>
    <w:multiLevelType w:val="hybridMultilevel"/>
    <w:tmpl w:val="6E1C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A16AB"/>
    <w:multiLevelType w:val="hybridMultilevel"/>
    <w:tmpl w:val="C372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38F9"/>
    <w:multiLevelType w:val="hybridMultilevel"/>
    <w:tmpl w:val="E75C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097F"/>
    <w:multiLevelType w:val="hybridMultilevel"/>
    <w:tmpl w:val="1D2A2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023D"/>
    <w:multiLevelType w:val="multilevel"/>
    <w:tmpl w:val="1D2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4647"/>
    <w:multiLevelType w:val="hybridMultilevel"/>
    <w:tmpl w:val="FA2619FE"/>
    <w:lvl w:ilvl="0" w:tplc="7EF86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D662D"/>
    <w:multiLevelType w:val="hybridMultilevel"/>
    <w:tmpl w:val="3AAC67D8"/>
    <w:lvl w:ilvl="0" w:tplc="7EF86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404D"/>
    <w:multiLevelType w:val="hybridMultilevel"/>
    <w:tmpl w:val="29B43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CB9"/>
    <w:multiLevelType w:val="hybridMultilevel"/>
    <w:tmpl w:val="D23A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6073C"/>
    <w:multiLevelType w:val="hybridMultilevel"/>
    <w:tmpl w:val="8562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AB"/>
    <w:rsid w:val="003E487F"/>
    <w:rsid w:val="0045224B"/>
    <w:rsid w:val="004C6C23"/>
    <w:rsid w:val="00850360"/>
    <w:rsid w:val="00E17B9A"/>
    <w:rsid w:val="00E3077E"/>
    <w:rsid w:val="00E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FEE04-1083-4D56-A60A-2D57A57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Foscato, Rich</dc:creator>
  <cp:lastModifiedBy>Panella, Laurie</cp:lastModifiedBy>
  <cp:revision>5</cp:revision>
  <dcterms:created xsi:type="dcterms:W3CDTF">2014-11-10T20:35:00Z</dcterms:created>
  <dcterms:modified xsi:type="dcterms:W3CDTF">2015-07-06T13:31:00Z</dcterms:modified>
</cp:coreProperties>
</file>