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42E51" w14:textId="77777777" w:rsidR="00C62A60" w:rsidRDefault="00C62A60">
      <w:pPr>
        <w:pStyle w:val="Title"/>
        <w:jc w:val="left"/>
        <w:rPr>
          <w:sz w:val="32"/>
        </w:rPr>
      </w:pPr>
    </w:p>
    <w:p w14:paraId="4BC42E52" w14:textId="77777777" w:rsidR="00C62A60" w:rsidRDefault="00C15CA6">
      <w:pPr>
        <w:pStyle w:val="Title"/>
      </w:pPr>
      <w:r>
        <w:t>COUNTY OF MILWAUKEE</w:t>
      </w:r>
    </w:p>
    <w:p w14:paraId="4BC42E53" w14:textId="77777777" w:rsidR="00C62A60" w:rsidRDefault="00C15CA6">
      <w:pPr>
        <w:jc w:val="center"/>
        <w:rPr>
          <w:b/>
          <w:bCs/>
        </w:rPr>
      </w:pPr>
      <w:r>
        <w:rPr>
          <w:b/>
          <w:bCs/>
        </w:rPr>
        <w:t>INTEROFFICE COMMUNICATION</w:t>
      </w:r>
    </w:p>
    <w:p w14:paraId="4BC42E54" w14:textId="77777777" w:rsidR="00C62A60" w:rsidRDefault="00C62A60">
      <w:pPr>
        <w:jc w:val="center"/>
        <w:rPr>
          <w:b/>
          <w:bCs/>
        </w:rPr>
      </w:pPr>
    </w:p>
    <w:p w14:paraId="4BC42E55" w14:textId="77777777" w:rsidR="00C62A60" w:rsidRDefault="00C62A60">
      <w:pPr>
        <w:jc w:val="center"/>
        <w:rPr>
          <w:b/>
          <w:bCs/>
        </w:rPr>
      </w:pPr>
    </w:p>
    <w:p w14:paraId="4BC42E56" w14:textId="77777777" w:rsidR="00C62A60" w:rsidRDefault="00C15CA6">
      <w:r>
        <w:rPr>
          <w:b/>
          <w:bCs/>
        </w:rPr>
        <w:t>DATE:</w:t>
      </w:r>
      <w:r>
        <w:tab/>
      </w:r>
      <w:r w:rsidR="000440F5">
        <w:t>April</w:t>
      </w:r>
      <w:r w:rsidR="00663F09">
        <w:t xml:space="preserve"> </w:t>
      </w:r>
      <w:r w:rsidR="000440F5">
        <w:t>24</w:t>
      </w:r>
      <w:r w:rsidR="00663F09">
        <w:t>, 2015</w:t>
      </w:r>
    </w:p>
    <w:p w14:paraId="4BC42E57" w14:textId="77777777" w:rsidR="00DF4960" w:rsidRDefault="00DF4960"/>
    <w:p w14:paraId="4BC42E58" w14:textId="77777777" w:rsidR="00C62A60" w:rsidRDefault="00C15CA6">
      <w:pPr>
        <w:tabs>
          <w:tab w:val="left" w:pos="1080"/>
          <w:tab w:val="left" w:pos="1440"/>
        </w:tabs>
        <w:ind w:left="1260" w:right="90" w:hanging="1260"/>
      </w:pPr>
      <w:r>
        <w:rPr>
          <w:b/>
          <w:bCs/>
        </w:rPr>
        <w:t>TO:</w:t>
      </w:r>
      <w:r>
        <w:rPr>
          <w:b/>
          <w:bCs/>
        </w:rPr>
        <w:tab/>
      </w:r>
      <w:r>
        <w:rPr>
          <w:b/>
          <w:bCs/>
        </w:rPr>
        <w:tab/>
      </w:r>
      <w:r>
        <w:rPr>
          <w:b/>
          <w:bCs/>
        </w:rPr>
        <w:tab/>
      </w:r>
      <w:r>
        <w:t>Chairwoman Marina Dimitrijevic, Milwaukee County Board of Supervisors</w:t>
      </w:r>
    </w:p>
    <w:p w14:paraId="4BC42E59" w14:textId="0A14476E" w:rsidR="00C62A60" w:rsidRDefault="00C15CA6">
      <w:pPr>
        <w:tabs>
          <w:tab w:val="left" w:pos="1080"/>
          <w:tab w:val="left" w:pos="1440"/>
        </w:tabs>
        <w:ind w:left="1440" w:right="90" w:hanging="1260"/>
      </w:pPr>
      <w:r>
        <w:rPr>
          <w:b/>
          <w:bCs/>
        </w:rPr>
        <w:tab/>
      </w:r>
      <w:r>
        <w:rPr>
          <w:b/>
          <w:bCs/>
        </w:rPr>
        <w:tab/>
      </w:r>
      <w:r>
        <w:t xml:space="preserve">Supervisors Willie Johnson &amp; </w:t>
      </w:r>
      <w:r w:rsidR="00A47141" w:rsidRPr="00A47141">
        <w:t>Theodore Lipscomb, Sr.</w:t>
      </w:r>
      <w:r w:rsidR="00A47141">
        <w:t xml:space="preserve"> </w:t>
      </w:r>
      <w:r>
        <w:t>, Co-Chairs Finance, Personnel &amp; Audit</w:t>
      </w:r>
    </w:p>
    <w:p w14:paraId="4BC42E5A" w14:textId="77777777" w:rsidR="00C62A60" w:rsidRDefault="00C15CA6">
      <w:pPr>
        <w:tabs>
          <w:tab w:val="left" w:pos="1080"/>
          <w:tab w:val="left" w:pos="1440"/>
        </w:tabs>
        <w:ind w:left="1260" w:right="90" w:hanging="1260"/>
      </w:pPr>
      <w:r>
        <w:tab/>
      </w:r>
      <w:r>
        <w:tab/>
      </w:r>
      <w:r>
        <w:tab/>
        <w:t xml:space="preserve">Supervisor Michael Mayo, Sr., Chairman Transportation &amp; Public Works </w:t>
      </w:r>
    </w:p>
    <w:p w14:paraId="4BC42E5B" w14:textId="77777777" w:rsidR="00C62A60" w:rsidRDefault="00C15CA6">
      <w:pPr>
        <w:tabs>
          <w:tab w:val="left" w:pos="1080"/>
          <w:tab w:val="left" w:pos="1440"/>
        </w:tabs>
        <w:ind w:left="1260" w:right="90" w:hanging="1260"/>
      </w:pPr>
      <w:r>
        <w:tab/>
      </w:r>
      <w:r>
        <w:tab/>
      </w:r>
      <w:r>
        <w:tab/>
      </w:r>
      <w:r>
        <w:tab/>
      </w:r>
    </w:p>
    <w:p w14:paraId="4BC42E5C" w14:textId="77777777" w:rsidR="00C62A60" w:rsidRDefault="00C15CA6">
      <w:pPr>
        <w:tabs>
          <w:tab w:val="left" w:pos="1080"/>
          <w:tab w:val="left" w:pos="1440"/>
        </w:tabs>
        <w:ind w:left="1440" w:right="90" w:hanging="1440"/>
        <w:outlineLvl w:val="0"/>
      </w:pPr>
      <w:r>
        <w:rPr>
          <w:b/>
          <w:bCs/>
        </w:rPr>
        <w:t>FROM:</w:t>
      </w:r>
      <w:r>
        <w:tab/>
      </w:r>
      <w:r>
        <w:tab/>
        <w:t xml:space="preserve">Greg High, Director, AE&amp;ES Section, DAS-FM Division </w:t>
      </w:r>
    </w:p>
    <w:p w14:paraId="4BC42E5D" w14:textId="77777777" w:rsidR="00C62A60" w:rsidRDefault="00C62A60"/>
    <w:p w14:paraId="4BC42E5E" w14:textId="77777777" w:rsidR="00C62A60" w:rsidRDefault="00C15CA6">
      <w:pPr>
        <w:pStyle w:val="BodyTextIndent2"/>
      </w:pPr>
      <w:r>
        <w:t>SUBJECT:</w:t>
      </w:r>
      <w:r>
        <w:tab/>
        <w:t>Professional Services Agreement Exceeding $</w:t>
      </w:r>
      <w:r w:rsidR="00DF4960">
        <w:t>1</w:t>
      </w:r>
      <w:r>
        <w:t>00,000 for Capital Project W</w:t>
      </w:r>
      <w:r w:rsidR="000440F5">
        <w:t>P298</w:t>
      </w:r>
      <w:r>
        <w:t>–</w:t>
      </w:r>
      <w:r w:rsidR="00DE7B84">
        <w:t>South Shore Park</w:t>
      </w:r>
      <w:r w:rsidR="00DF4960">
        <w:t xml:space="preserve"> Improvements</w:t>
      </w:r>
      <w:r>
        <w:t xml:space="preserve"> </w:t>
      </w:r>
    </w:p>
    <w:p w14:paraId="4BC42E5F" w14:textId="77777777" w:rsidR="00663F09" w:rsidRDefault="00546AB0">
      <w:pPr>
        <w:pStyle w:val="BodyTextIndent2"/>
      </w:pPr>
      <w:r>
        <w:tab/>
        <w:t>Informational Item</w:t>
      </w:r>
    </w:p>
    <w:p w14:paraId="4BC42E60" w14:textId="77777777" w:rsidR="00C62A60" w:rsidRDefault="00C62A60">
      <w:pPr>
        <w:ind w:left="1440"/>
      </w:pPr>
    </w:p>
    <w:p w14:paraId="4BC42E61" w14:textId="77777777" w:rsidR="00C62A60" w:rsidRDefault="00C15CA6">
      <w:pPr>
        <w:pStyle w:val="Heading1"/>
      </w:pPr>
      <w:r>
        <w:t>POLICY</w:t>
      </w:r>
    </w:p>
    <w:p w14:paraId="4BC42E62" w14:textId="77777777" w:rsidR="00C62A60" w:rsidRDefault="00C62A60">
      <w:pPr>
        <w:ind w:left="1440"/>
      </w:pPr>
    </w:p>
    <w:p w14:paraId="4BC42E63" w14:textId="77777777" w:rsidR="00C62A60" w:rsidRDefault="00C15CA6">
      <w:pPr>
        <w:pStyle w:val="BodyTextIndent2"/>
        <w:ind w:firstLine="0"/>
        <w:rPr>
          <w:b w:val="0"/>
          <w:bCs w:val="0"/>
        </w:rPr>
      </w:pPr>
      <w:r>
        <w:rPr>
          <w:b w:val="0"/>
          <w:bCs w:val="0"/>
        </w:rPr>
        <w:t xml:space="preserve">Implementation of </w:t>
      </w:r>
      <w:r w:rsidR="00F43438" w:rsidRPr="00F43438">
        <w:rPr>
          <w:b w:val="0"/>
          <w:bCs w:val="0"/>
        </w:rPr>
        <w:t>Wisconsin Statutes 59.21(31)</w:t>
      </w:r>
      <w:r w:rsidR="00F43438">
        <w:rPr>
          <w:b w:val="0"/>
          <w:bCs w:val="0"/>
        </w:rPr>
        <w:t xml:space="preserve"> with</w:t>
      </w:r>
      <w:r w:rsidR="00F43438" w:rsidRPr="00F43438">
        <w:rPr>
          <w:b w:val="0"/>
          <w:bCs w:val="0"/>
        </w:rPr>
        <w:t xml:space="preserve"> </w:t>
      </w:r>
      <w:r>
        <w:rPr>
          <w:b w:val="0"/>
          <w:bCs w:val="0"/>
        </w:rPr>
        <w:t xml:space="preserve">regard to purchase of professional service agreements (under the Milwaukee General Ordinance Chapter 56) for Capital projects requires County Board </w:t>
      </w:r>
      <w:r w:rsidR="00DF4960">
        <w:rPr>
          <w:b w:val="0"/>
          <w:bCs w:val="0"/>
        </w:rPr>
        <w:t>review</w:t>
      </w:r>
      <w:r>
        <w:rPr>
          <w:b w:val="0"/>
          <w:bCs w:val="0"/>
        </w:rPr>
        <w:t xml:space="preserve"> to award the initial agreement, or fee extension(s) to the original agreement, when the total contractual fee exceeds $</w:t>
      </w:r>
      <w:r w:rsidR="00DF4960">
        <w:rPr>
          <w:b w:val="0"/>
          <w:bCs w:val="0"/>
        </w:rPr>
        <w:t>1</w:t>
      </w:r>
      <w:r>
        <w:rPr>
          <w:b w:val="0"/>
          <w:bCs w:val="0"/>
        </w:rPr>
        <w:t>00,000</w:t>
      </w:r>
      <w:r w:rsidR="00DF4960">
        <w:rPr>
          <w:b w:val="0"/>
          <w:bCs w:val="0"/>
        </w:rPr>
        <w:t xml:space="preserve"> but is less than $300,000</w:t>
      </w:r>
      <w:r>
        <w:rPr>
          <w:b w:val="0"/>
          <w:bCs w:val="0"/>
        </w:rPr>
        <w:t xml:space="preserve">.  </w:t>
      </w:r>
      <w:r>
        <w:rPr>
          <w:b w:val="0"/>
          <w:bCs w:val="0"/>
          <w:color w:val="000000"/>
        </w:rPr>
        <w:t xml:space="preserve">The </w:t>
      </w:r>
      <w:r>
        <w:rPr>
          <w:b w:val="0"/>
          <w:bCs w:val="0"/>
        </w:rPr>
        <w:t>Director of the D</w:t>
      </w:r>
      <w:r w:rsidR="00663F09">
        <w:rPr>
          <w:b w:val="0"/>
          <w:bCs w:val="0"/>
        </w:rPr>
        <w:t>epartment of Administration (D</w:t>
      </w:r>
      <w:r>
        <w:rPr>
          <w:b w:val="0"/>
          <w:bCs w:val="0"/>
        </w:rPr>
        <w:t>AS</w:t>
      </w:r>
      <w:r w:rsidR="00663F09">
        <w:rPr>
          <w:b w:val="0"/>
          <w:bCs w:val="0"/>
        </w:rPr>
        <w:t>)</w:t>
      </w:r>
      <w:r>
        <w:rPr>
          <w:b w:val="0"/>
          <w:bCs w:val="0"/>
        </w:rPr>
        <w:t xml:space="preserve"> </w:t>
      </w:r>
      <w:r>
        <w:rPr>
          <w:b w:val="0"/>
          <w:bCs w:val="0"/>
          <w:color w:val="000000"/>
        </w:rPr>
        <w:t xml:space="preserve">is </w:t>
      </w:r>
      <w:r w:rsidR="00546AB0">
        <w:rPr>
          <w:b w:val="0"/>
          <w:bCs w:val="0"/>
          <w:color w:val="000000"/>
        </w:rPr>
        <w:t xml:space="preserve">planning to </w:t>
      </w:r>
      <w:r>
        <w:rPr>
          <w:b w:val="0"/>
          <w:bCs w:val="0"/>
        </w:rPr>
        <w:t xml:space="preserve">execute a professional service agreement with </w:t>
      </w:r>
      <w:r w:rsidR="00DE7B84">
        <w:rPr>
          <w:b w:val="0"/>
          <w:bCs w:val="0"/>
        </w:rPr>
        <w:t>The Sigma Group</w:t>
      </w:r>
      <w:r w:rsidR="00DF4960">
        <w:rPr>
          <w:b w:val="0"/>
          <w:bCs w:val="0"/>
        </w:rPr>
        <w:t>.</w:t>
      </w:r>
      <w:r>
        <w:rPr>
          <w:b w:val="0"/>
          <w:bCs w:val="0"/>
        </w:rPr>
        <w:t xml:space="preserve"> to provide professional design services for the adopted 201</w:t>
      </w:r>
      <w:r w:rsidR="00DE7B84">
        <w:rPr>
          <w:b w:val="0"/>
          <w:bCs w:val="0"/>
        </w:rPr>
        <w:t>5</w:t>
      </w:r>
      <w:r>
        <w:rPr>
          <w:b w:val="0"/>
          <w:bCs w:val="0"/>
        </w:rPr>
        <w:t xml:space="preserve"> Capital Project W</w:t>
      </w:r>
      <w:r w:rsidR="00DE7B84">
        <w:rPr>
          <w:b w:val="0"/>
          <w:bCs w:val="0"/>
        </w:rPr>
        <w:t>P298</w:t>
      </w:r>
      <w:r w:rsidR="00DF4960">
        <w:rPr>
          <w:b w:val="0"/>
          <w:bCs w:val="0"/>
        </w:rPr>
        <w:t xml:space="preserve"> – </w:t>
      </w:r>
      <w:r w:rsidR="00DE7B84">
        <w:rPr>
          <w:b w:val="0"/>
          <w:bCs w:val="0"/>
        </w:rPr>
        <w:t xml:space="preserve">South Shore Park </w:t>
      </w:r>
      <w:r w:rsidR="00DF4960">
        <w:rPr>
          <w:b w:val="0"/>
          <w:bCs w:val="0"/>
        </w:rPr>
        <w:t>Improvements.</w:t>
      </w:r>
    </w:p>
    <w:p w14:paraId="4BC42E64" w14:textId="77777777" w:rsidR="00C62A60" w:rsidRDefault="00C62A60">
      <w:pPr>
        <w:ind w:left="1440"/>
      </w:pPr>
    </w:p>
    <w:p w14:paraId="4BC42E65" w14:textId="77777777" w:rsidR="00C62A60" w:rsidRDefault="00C15CA6">
      <w:pPr>
        <w:pStyle w:val="Heading1"/>
      </w:pPr>
      <w:r>
        <w:t>BACKGROUND</w:t>
      </w:r>
    </w:p>
    <w:p w14:paraId="4BC42E66" w14:textId="77777777" w:rsidR="00C62A60" w:rsidRDefault="00C62A60">
      <w:pPr>
        <w:ind w:left="1440"/>
      </w:pPr>
    </w:p>
    <w:p w14:paraId="4BC42E67" w14:textId="057F8B98" w:rsidR="00DE7B84" w:rsidRPr="00DE7B84" w:rsidRDefault="00DE7B84">
      <w:pPr>
        <w:pStyle w:val="BodyTextIndent2"/>
        <w:ind w:firstLine="0"/>
        <w:rPr>
          <w:b w:val="0"/>
          <w:bCs w:val="0"/>
        </w:rPr>
      </w:pPr>
      <w:r w:rsidRPr="00E702B1">
        <w:rPr>
          <w:b w:val="0"/>
          <w:bCs w:val="0"/>
        </w:rPr>
        <w:t xml:space="preserve">The South Shore Improvement project was originally initiated in 2014. </w:t>
      </w:r>
      <w:r w:rsidR="00A47141">
        <w:rPr>
          <w:b w:val="0"/>
          <w:bCs w:val="0"/>
        </w:rPr>
        <w:t xml:space="preserve"> </w:t>
      </w:r>
      <w:r w:rsidRPr="00E702B1">
        <w:rPr>
          <w:b w:val="0"/>
          <w:bCs w:val="0"/>
        </w:rPr>
        <w:t>At that time, the Architecture, Engineering and Environmental Services Section (AE&amp;ES) of DAS-FM</w:t>
      </w:r>
      <w:r w:rsidRPr="00E702B1">
        <w:t xml:space="preserve"> i</w:t>
      </w:r>
      <w:r w:rsidRPr="00E702B1">
        <w:rPr>
          <w:b w:val="0"/>
          <w:bCs w:val="0"/>
        </w:rPr>
        <w:t xml:space="preserve">ssued a Request of Proposals (RFP) for qualified firms to provide architectural and engineering, planning and design services related to the master planning of South Shore Park with a goal </w:t>
      </w:r>
      <w:r w:rsidR="00A47141">
        <w:rPr>
          <w:b w:val="0"/>
          <w:bCs w:val="0"/>
        </w:rPr>
        <w:t>o</w:t>
      </w:r>
      <w:r w:rsidRPr="00E702B1">
        <w:rPr>
          <w:b w:val="0"/>
          <w:bCs w:val="0"/>
        </w:rPr>
        <w:t xml:space="preserve">f including improvements to </w:t>
      </w:r>
      <w:r w:rsidR="00A47141">
        <w:rPr>
          <w:b w:val="0"/>
          <w:bCs w:val="0"/>
        </w:rPr>
        <w:t xml:space="preserve">enhance </w:t>
      </w:r>
      <w:r w:rsidRPr="00E702B1">
        <w:rPr>
          <w:b w:val="0"/>
          <w:bCs w:val="0"/>
        </w:rPr>
        <w:t>beach health. Milwaukee County selected The Sigma Group to complete the master plan for the park. In the spring of 2015 Milwaukee County allocated capital funding for the design and construction of portions of the master plan. The scope of the adopted project is substantially the same as identified in the 2014 RFP and the proposal e</w:t>
      </w:r>
      <w:r w:rsidR="00F26FE0">
        <w:rPr>
          <w:b w:val="0"/>
          <w:bCs w:val="0"/>
        </w:rPr>
        <w:t>valuation</w:t>
      </w:r>
      <w:r w:rsidRPr="00E702B1">
        <w:rPr>
          <w:b w:val="0"/>
          <w:bCs w:val="0"/>
        </w:rPr>
        <w:t xml:space="preserve"> and selection process outlined above remains valid. The consultant team led by The Sigma Group remains </w:t>
      </w:r>
      <w:r w:rsidR="00F26FE0">
        <w:rPr>
          <w:b w:val="0"/>
          <w:bCs w:val="0"/>
        </w:rPr>
        <w:t xml:space="preserve">substantially </w:t>
      </w:r>
      <w:r w:rsidRPr="00E702B1">
        <w:rPr>
          <w:b w:val="0"/>
          <w:bCs w:val="0"/>
        </w:rPr>
        <w:t xml:space="preserve">the same as originally proposed and </w:t>
      </w:r>
      <w:r w:rsidR="001260FD">
        <w:rPr>
          <w:b w:val="0"/>
          <w:bCs w:val="0"/>
        </w:rPr>
        <w:t xml:space="preserve">The Sigma Group </w:t>
      </w:r>
      <w:r w:rsidRPr="00E702B1">
        <w:rPr>
          <w:b w:val="0"/>
          <w:bCs w:val="0"/>
        </w:rPr>
        <w:t>indicate</w:t>
      </w:r>
      <w:r w:rsidR="001260FD">
        <w:rPr>
          <w:b w:val="0"/>
          <w:bCs w:val="0"/>
        </w:rPr>
        <w:t>s</w:t>
      </w:r>
      <w:r w:rsidRPr="00E702B1">
        <w:rPr>
          <w:b w:val="0"/>
          <w:bCs w:val="0"/>
        </w:rPr>
        <w:t xml:space="preserve"> </w:t>
      </w:r>
      <w:r w:rsidR="001260FD">
        <w:rPr>
          <w:b w:val="0"/>
          <w:bCs w:val="0"/>
        </w:rPr>
        <w:t>they are</w:t>
      </w:r>
      <w:r w:rsidRPr="00E702B1">
        <w:rPr>
          <w:b w:val="0"/>
          <w:bCs w:val="0"/>
        </w:rPr>
        <w:t xml:space="preserve"> ready and able</w:t>
      </w:r>
      <w:r>
        <w:rPr>
          <w:b w:val="0"/>
          <w:bCs w:val="0"/>
        </w:rPr>
        <w:t xml:space="preserve"> to complete the work as currently scoped.</w:t>
      </w:r>
    </w:p>
    <w:p w14:paraId="4BC42E68" w14:textId="77777777" w:rsidR="003A16B9" w:rsidRPr="00DE7B84" w:rsidRDefault="003A16B9">
      <w:pPr>
        <w:pStyle w:val="BodyTextIndent2"/>
        <w:ind w:firstLine="0"/>
        <w:rPr>
          <w:b w:val="0"/>
          <w:bCs w:val="0"/>
          <w:highlight w:val="yellow"/>
        </w:rPr>
      </w:pPr>
    </w:p>
    <w:p w14:paraId="4BC42E69" w14:textId="77777777" w:rsidR="009B503C" w:rsidRPr="00DE7B84" w:rsidRDefault="00095929" w:rsidP="00F379C0">
      <w:pPr>
        <w:pStyle w:val="BodyTextIndent2"/>
        <w:ind w:firstLine="0"/>
        <w:rPr>
          <w:sz w:val="22"/>
          <w:highlight w:val="yellow"/>
        </w:rPr>
      </w:pPr>
      <w:r w:rsidRPr="00E702B1">
        <w:rPr>
          <w:b w:val="0"/>
          <w:bCs w:val="0"/>
        </w:rPr>
        <w:t xml:space="preserve">The selected consultant has submitted a revised scope of services that has been reviewed and accepted by </w:t>
      </w:r>
      <w:r w:rsidR="00663F09" w:rsidRPr="00E702B1">
        <w:rPr>
          <w:b w:val="0"/>
          <w:bCs w:val="0"/>
        </w:rPr>
        <w:t xml:space="preserve">the </w:t>
      </w:r>
      <w:r w:rsidRPr="00E702B1">
        <w:rPr>
          <w:b w:val="0"/>
          <w:bCs w:val="0"/>
        </w:rPr>
        <w:t>A</w:t>
      </w:r>
      <w:r w:rsidR="00663F09" w:rsidRPr="00E702B1">
        <w:rPr>
          <w:b w:val="0"/>
          <w:bCs w:val="0"/>
        </w:rPr>
        <w:t>E&amp;ES Section of DAS-FM</w:t>
      </w:r>
      <w:r w:rsidRPr="00E702B1">
        <w:rPr>
          <w:b w:val="0"/>
          <w:bCs w:val="0"/>
        </w:rPr>
        <w:t xml:space="preserve">. </w:t>
      </w:r>
      <w:r w:rsidR="00C15CA6" w:rsidRPr="00E702B1">
        <w:rPr>
          <w:b w:val="0"/>
          <w:bCs w:val="0"/>
        </w:rPr>
        <w:t xml:space="preserve">A </w:t>
      </w:r>
      <w:r w:rsidRPr="00E702B1">
        <w:rPr>
          <w:b w:val="0"/>
          <w:bCs w:val="0"/>
        </w:rPr>
        <w:t xml:space="preserve">copy of the approved scope of services and </w:t>
      </w:r>
      <w:r w:rsidRPr="0064105F">
        <w:rPr>
          <w:b w:val="0"/>
          <w:bCs w:val="0"/>
        </w:rPr>
        <w:t xml:space="preserve">consultant effort fee </w:t>
      </w:r>
      <w:r w:rsidR="001446CA" w:rsidRPr="0064105F">
        <w:rPr>
          <w:b w:val="0"/>
          <w:bCs w:val="0"/>
        </w:rPr>
        <w:t xml:space="preserve">spreadsheet </w:t>
      </w:r>
      <w:r w:rsidRPr="0064105F">
        <w:rPr>
          <w:b w:val="0"/>
          <w:bCs w:val="0"/>
        </w:rPr>
        <w:t>i</w:t>
      </w:r>
      <w:r w:rsidR="00C15CA6" w:rsidRPr="0064105F">
        <w:rPr>
          <w:b w:val="0"/>
          <w:bCs w:val="0"/>
        </w:rPr>
        <w:t xml:space="preserve">s attached. </w:t>
      </w:r>
      <w:r w:rsidR="001260FD">
        <w:rPr>
          <w:b w:val="0"/>
          <w:bCs w:val="0"/>
        </w:rPr>
        <w:t xml:space="preserve">The total fee increase for this phase of work totals 132,102.00. The </w:t>
      </w:r>
      <w:r w:rsidR="001446CA" w:rsidRPr="0064105F">
        <w:rPr>
          <w:b w:val="0"/>
          <w:bCs w:val="0"/>
        </w:rPr>
        <w:t xml:space="preserve">total </w:t>
      </w:r>
      <w:r w:rsidRPr="0064105F">
        <w:rPr>
          <w:b w:val="0"/>
          <w:bCs w:val="0"/>
        </w:rPr>
        <w:t xml:space="preserve">proposed cost of the professional services agreement </w:t>
      </w:r>
      <w:r w:rsidR="001260FD">
        <w:rPr>
          <w:b w:val="0"/>
          <w:bCs w:val="0"/>
        </w:rPr>
        <w:t>is</w:t>
      </w:r>
      <w:r w:rsidR="00C15CA6" w:rsidRPr="0064105F">
        <w:rPr>
          <w:b w:val="0"/>
          <w:bCs w:val="0"/>
        </w:rPr>
        <w:t xml:space="preserve"> $</w:t>
      </w:r>
      <w:r w:rsidR="0064105F" w:rsidRPr="0064105F">
        <w:rPr>
          <w:b w:val="0"/>
          <w:bCs w:val="0"/>
        </w:rPr>
        <w:t>229,572.</w:t>
      </w:r>
      <w:r w:rsidR="00A31144" w:rsidRPr="0064105F">
        <w:rPr>
          <w:b w:val="0"/>
          <w:bCs w:val="0"/>
        </w:rPr>
        <w:t>00</w:t>
      </w:r>
      <w:r w:rsidR="00C15CA6" w:rsidRPr="0064105F">
        <w:rPr>
          <w:b w:val="0"/>
          <w:bCs w:val="0"/>
        </w:rPr>
        <w:t>.</w:t>
      </w:r>
      <w:r w:rsidR="009B503C" w:rsidRPr="00DE7B84">
        <w:rPr>
          <w:sz w:val="22"/>
          <w:highlight w:val="yellow"/>
        </w:rPr>
        <w:br w:type="page"/>
      </w:r>
    </w:p>
    <w:p w14:paraId="4BC42E6A" w14:textId="77777777" w:rsidR="00095929" w:rsidRPr="0064105F" w:rsidRDefault="00095929">
      <w:pPr>
        <w:widowControl w:val="0"/>
        <w:tabs>
          <w:tab w:val="left" w:pos="660"/>
          <w:tab w:val="left" w:pos="1188"/>
          <w:tab w:val="left" w:pos="1713"/>
          <w:tab w:val="left" w:pos="4320"/>
          <w:tab w:val="left" w:pos="5040"/>
          <w:tab w:val="left" w:pos="5760"/>
          <w:tab w:val="left" w:pos="6480"/>
          <w:tab w:val="left" w:pos="9360"/>
        </w:tabs>
        <w:spacing w:line="247" w:lineRule="exact"/>
        <w:ind w:left="1440"/>
        <w:rPr>
          <w:sz w:val="22"/>
        </w:rPr>
      </w:pPr>
    </w:p>
    <w:p w14:paraId="4BC42E6B" w14:textId="77777777" w:rsidR="00C62A60" w:rsidRPr="0064105F" w:rsidRDefault="00C15CA6">
      <w:pPr>
        <w:widowControl w:val="0"/>
        <w:tabs>
          <w:tab w:val="left" w:pos="660"/>
          <w:tab w:val="left" w:pos="1188"/>
          <w:tab w:val="left" w:pos="1713"/>
          <w:tab w:val="left" w:pos="4320"/>
          <w:tab w:val="left" w:pos="5040"/>
          <w:tab w:val="left" w:pos="5760"/>
          <w:tab w:val="left" w:pos="6480"/>
          <w:tab w:val="left" w:pos="9360"/>
        </w:tabs>
        <w:spacing w:line="247" w:lineRule="exact"/>
        <w:ind w:left="1440"/>
        <w:rPr>
          <w:sz w:val="22"/>
        </w:rPr>
      </w:pPr>
      <w:r w:rsidRPr="0064105F">
        <w:rPr>
          <w:sz w:val="22"/>
        </w:rPr>
        <w:tab/>
        <w:t>FEE BREAKDOWN:</w:t>
      </w:r>
    </w:p>
    <w:p w14:paraId="4BC42E6C" w14:textId="77777777" w:rsidR="00C62A60" w:rsidRPr="0064105F" w:rsidRDefault="00C15CA6" w:rsidP="00095929">
      <w:pPr>
        <w:tabs>
          <w:tab w:val="left" w:pos="660"/>
          <w:tab w:val="left" w:pos="1188"/>
          <w:tab w:val="left" w:pos="1713"/>
          <w:tab w:val="left" w:pos="4320"/>
          <w:tab w:val="right" w:pos="7200"/>
        </w:tabs>
        <w:spacing w:line="247" w:lineRule="exact"/>
        <w:ind w:left="585"/>
        <w:rPr>
          <w:sz w:val="22"/>
        </w:rPr>
      </w:pPr>
      <w:r w:rsidRPr="0064105F">
        <w:rPr>
          <w:sz w:val="22"/>
        </w:rPr>
        <w:tab/>
      </w:r>
      <w:r w:rsidRPr="0064105F">
        <w:rPr>
          <w:sz w:val="22"/>
        </w:rPr>
        <w:tab/>
      </w:r>
      <w:r w:rsidRPr="0064105F">
        <w:rPr>
          <w:sz w:val="22"/>
        </w:rPr>
        <w:tab/>
      </w:r>
    </w:p>
    <w:p w14:paraId="4BC42E6D" w14:textId="77777777" w:rsidR="00C62A60" w:rsidRPr="0064105F" w:rsidRDefault="00C15CA6">
      <w:pPr>
        <w:tabs>
          <w:tab w:val="left" w:pos="660"/>
          <w:tab w:val="left" w:pos="1188"/>
          <w:tab w:val="left" w:pos="1713"/>
          <w:tab w:val="left" w:pos="4320"/>
          <w:tab w:val="left" w:pos="5040"/>
          <w:tab w:val="left" w:pos="5760"/>
          <w:tab w:val="left" w:pos="6480"/>
          <w:tab w:val="right" w:pos="9360"/>
        </w:tabs>
        <w:spacing w:line="247" w:lineRule="exact"/>
        <w:ind w:left="585"/>
        <w:rPr>
          <w:sz w:val="22"/>
        </w:rPr>
      </w:pPr>
      <w:r w:rsidRPr="0064105F">
        <w:rPr>
          <w:sz w:val="22"/>
        </w:rPr>
        <w:tab/>
      </w:r>
      <w:r w:rsidRPr="0064105F">
        <w:rPr>
          <w:sz w:val="22"/>
        </w:rPr>
        <w:tab/>
      </w:r>
      <w:r w:rsidRPr="0064105F">
        <w:rPr>
          <w:sz w:val="22"/>
        </w:rPr>
        <w:tab/>
        <w:t>Maximum Allowable Fee plus Allowance:</w:t>
      </w:r>
      <w:r w:rsidRPr="0064105F">
        <w:rPr>
          <w:sz w:val="22"/>
        </w:rPr>
        <w:tab/>
      </w:r>
    </w:p>
    <w:p w14:paraId="4BC42E6E" w14:textId="77777777" w:rsidR="00C62A60" w:rsidRPr="0064105F" w:rsidRDefault="00C15CA6">
      <w:pPr>
        <w:tabs>
          <w:tab w:val="left" w:pos="660"/>
          <w:tab w:val="left" w:pos="1188"/>
          <w:tab w:val="left" w:pos="1713"/>
          <w:tab w:val="right" w:pos="7200"/>
          <w:tab w:val="right" w:pos="9360"/>
        </w:tabs>
        <w:spacing w:line="247" w:lineRule="exact"/>
        <w:ind w:left="660"/>
        <w:rPr>
          <w:sz w:val="22"/>
        </w:rPr>
      </w:pPr>
      <w:r w:rsidRPr="0064105F">
        <w:rPr>
          <w:sz w:val="22"/>
        </w:rPr>
        <w:tab/>
      </w:r>
      <w:r w:rsidRPr="0064105F">
        <w:rPr>
          <w:sz w:val="22"/>
        </w:rPr>
        <w:tab/>
        <w:t>1. Actual Cost Not to Exceed Sum</w:t>
      </w:r>
      <w:r w:rsidR="00095929" w:rsidRPr="0064105F">
        <w:rPr>
          <w:sz w:val="22"/>
        </w:rPr>
        <w:t xml:space="preserve"> – Consulting Fees</w:t>
      </w:r>
      <w:r w:rsidR="00095929" w:rsidRPr="0064105F">
        <w:rPr>
          <w:sz w:val="22"/>
        </w:rPr>
        <w:tab/>
      </w:r>
      <w:r w:rsidRPr="0064105F">
        <w:rPr>
          <w:sz w:val="22"/>
        </w:rPr>
        <w:tab/>
        <w:t>$</w:t>
      </w:r>
      <w:r w:rsidR="0064105F" w:rsidRPr="0064105F">
        <w:rPr>
          <w:sz w:val="22"/>
        </w:rPr>
        <w:t>210,572</w:t>
      </w:r>
      <w:r w:rsidR="00A31144" w:rsidRPr="0064105F">
        <w:rPr>
          <w:sz w:val="22"/>
        </w:rPr>
        <w:t>.00</w:t>
      </w:r>
    </w:p>
    <w:p w14:paraId="4BC42E6F" w14:textId="77777777" w:rsidR="00C62A60" w:rsidRPr="0064105F" w:rsidRDefault="00C15CA6">
      <w:pPr>
        <w:tabs>
          <w:tab w:val="left" w:pos="660"/>
          <w:tab w:val="left" w:pos="1188"/>
          <w:tab w:val="left" w:pos="1713"/>
          <w:tab w:val="right" w:pos="7200"/>
          <w:tab w:val="right" w:pos="9360"/>
        </w:tabs>
        <w:spacing w:line="247" w:lineRule="exact"/>
        <w:ind w:left="660"/>
        <w:rPr>
          <w:sz w:val="22"/>
          <w:u w:val="single"/>
        </w:rPr>
      </w:pPr>
      <w:r w:rsidRPr="0064105F">
        <w:rPr>
          <w:sz w:val="22"/>
        </w:rPr>
        <w:tab/>
      </w:r>
      <w:r w:rsidRPr="0064105F">
        <w:rPr>
          <w:sz w:val="22"/>
        </w:rPr>
        <w:tab/>
        <w:t xml:space="preserve">3. </w:t>
      </w:r>
      <w:r w:rsidRPr="0064105F">
        <w:rPr>
          <w:sz w:val="22"/>
          <w:u w:val="single"/>
        </w:rPr>
        <w:t>Reimbursable Allowance (NTE)</w:t>
      </w:r>
      <w:r w:rsidRPr="0064105F">
        <w:rPr>
          <w:sz w:val="22"/>
          <w:u w:val="single"/>
        </w:rPr>
        <w:tab/>
      </w:r>
      <w:r w:rsidR="00095929" w:rsidRPr="0064105F">
        <w:rPr>
          <w:sz w:val="22"/>
          <w:u w:val="single"/>
        </w:rPr>
        <w:tab/>
      </w:r>
      <w:r w:rsidRPr="0064105F">
        <w:rPr>
          <w:sz w:val="22"/>
          <w:u w:val="single"/>
        </w:rPr>
        <w:t>$</w:t>
      </w:r>
      <w:r w:rsidR="0064105F" w:rsidRPr="0064105F">
        <w:rPr>
          <w:sz w:val="22"/>
          <w:u w:val="single"/>
        </w:rPr>
        <w:t>19,000</w:t>
      </w:r>
      <w:r w:rsidR="00A31144" w:rsidRPr="0064105F">
        <w:rPr>
          <w:sz w:val="22"/>
          <w:u w:val="single"/>
        </w:rPr>
        <w:t>.00</w:t>
      </w:r>
    </w:p>
    <w:p w14:paraId="4BC42E70" w14:textId="77777777" w:rsidR="00C62A60" w:rsidRPr="0064105F" w:rsidRDefault="00C15CA6">
      <w:pPr>
        <w:tabs>
          <w:tab w:val="left" w:pos="660"/>
          <w:tab w:val="left" w:pos="1188"/>
          <w:tab w:val="left" w:pos="1713"/>
          <w:tab w:val="right" w:pos="7200"/>
          <w:tab w:val="right" w:pos="9360"/>
        </w:tabs>
        <w:spacing w:line="247" w:lineRule="exact"/>
        <w:ind w:left="660"/>
        <w:rPr>
          <w:sz w:val="22"/>
        </w:rPr>
      </w:pPr>
      <w:r w:rsidRPr="0064105F">
        <w:rPr>
          <w:sz w:val="22"/>
        </w:rPr>
        <w:tab/>
      </w:r>
      <w:r w:rsidRPr="0064105F">
        <w:rPr>
          <w:sz w:val="22"/>
        </w:rPr>
        <w:tab/>
        <w:t>4. Fee Plus Allowance (NTE)</w:t>
      </w:r>
      <w:r w:rsidRPr="0064105F">
        <w:rPr>
          <w:sz w:val="22"/>
        </w:rPr>
        <w:tab/>
      </w:r>
      <w:r w:rsidR="00095929" w:rsidRPr="0064105F">
        <w:rPr>
          <w:sz w:val="22"/>
        </w:rPr>
        <w:tab/>
      </w:r>
      <w:r w:rsidRPr="0064105F">
        <w:rPr>
          <w:sz w:val="22"/>
        </w:rPr>
        <w:t>$</w:t>
      </w:r>
      <w:r w:rsidR="0064105F" w:rsidRPr="0064105F">
        <w:rPr>
          <w:sz w:val="22"/>
        </w:rPr>
        <w:t>229,572</w:t>
      </w:r>
      <w:r w:rsidRPr="0064105F">
        <w:rPr>
          <w:sz w:val="22"/>
        </w:rPr>
        <w:t>.</w:t>
      </w:r>
      <w:r w:rsidR="00A31144" w:rsidRPr="0064105F">
        <w:rPr>
          <w:sz w:val="22"/>
        </w:rPr>
        <w:t>00</w:t>
      </w:r>
    </w:p>
    <w:p w14:paraId="4BC42E71" w14:textId="77777777" w:rsidR="00C62A60" w:rsidRPr="00DE7B84" w:rsidRDefault="00C62A60">
      <w:pPr>
        <w:pStyle w:val="Heading1"/>
        <w:rPr>
          <w:highlight w:val="yellow"/>
          <w:u w:val="none"/>
        </w:rPr>
      </w:pPr>
    </w:p>
    <w:p w14:paraId="4BC42E72" w14:textId="476CA2EC" w:rsidR="00C62A60" w:rsidRPr="00DE7B84" w:rsidRDefault="00C15CA6">
      <w:pPr>
        <w:ind w:left="1440"/>
        <w:rPr>
          <w:highlight w:val="yellow"/>
        </w:rPr>
      </w:pPr>
      <w:r w:rsidRPr="00C35B59">
        <w:t xml:space="preserve">The </w:t>
      </w:r>
      <w:r w:rsidR="009B503C" w:rsidRPr="00C35B59">
        <w:t xml:space="preserve">adopted </w:t>
      </w:r>
      <w:r w:rsidRPr="00C35B59">
        <w:t xml:space="preserve">2015 </w:t>
      </w:r>
      <w:r w:rsidR="00F379C0" w:rsidRPr="00C35B59">
        <w:t>c</w:t>
      </w:r>
      <w:r w:rsidRPr="00C35B59">
        <w:t xml:space="preserve">apital </w:t>
      </w:r>
      <w:r w:rsidR="00F379C0" w:rsidRPr="001260FD">
        <w:t>b</w:t>
      </w:r>
      <w:r w:rsidRPr="001260FD">
        <w:t xml:space="preserve">udget </w:t>
      </w:r>
      <w:r w:rsidR="009B503C" w:rsidRPr="001260FD">
        <w:t xml:space="preserve">includes </w:t>
      </w:r>
      <w:r w:rsidRPr="001260FD">
        <w:t>a</w:t>
      </w:r>
      <w:r w:rsidR="009B503C" w:rsidRPr="001260FD">
        <w:t xml:space="preserve"> total of </w:t>
      </w:r>
      <w:r w:rsidRPr="001260FD">
        <w:t>$</w:t>
      </w:r>
      <w:r w:rsidR="001260FD" w:rsidRPr="001260FD">
        <w:t>1,616,209.00</w:t>
      </w:r>
      <w:r w:rsidRPr="001260FD">
        <w:t xml:space="preserve"> for</w:t>
      </w:r>
      <w:r w:rsidRPr="00C35B59">
        <w:t xml:space="preserve"> </w:t>
      </w:r>
      <w:r w:rsidR="00F379C0" w:rsidRPr="00C35B59">
        <w:t>c</w:t>
      </w:r>
      <w:r w:rsidRPr="00C35B59">
        <w:t xml:space="preserve">apital </w:t>
      </w:r>
      <w:r w:rsidR="00F379C0" w:rsidRPr="00C35B59">
        <w:t>p</w:t>
      </w:r>
      <w:r w:rsidRPr="00C35B59">
        <w:t>roject W</w:t>
      </w:r>
      <w:r w:rsidR="00C35B59" w:rsidRPr="00C35B59">
        <w:t>P298</w:t>
      </w:r>
      <w:r w:rsidRPr="00C35B59">
        <w:t xml:space="preserve"> – </w:t>
      </w:r>
      <w:r w:rsidR="00C35B59" w:rsidRPr="00C35B59">
        <w:t>South Shore Park</w:t>
      </w:r>
      <w:r w:rsidR="009B503C" w:rsidRPr="00C35B59">
        <w:t xml:space="preserve"> Improvements</w:t>
      </w:r>
      <w:r w:rsidRPr="00C35B59">
        <w:t>.  There are sufficient funds in the current W</w:t>
      </w:r>
      <w:r w:rsidR="00C35B59" w:rsidRPr="00C35B59">
        <w:t>P298</w:t>
      </w:r>
      <w:r w:rsidRPr="00C35B59">
        <w:t xml:space="preserve"> capital budget to award the requested </w:t>
      </w:r>
      <w:r w:rsidR="009B503C" w:rsidRPr="00C35B59">
        <w:t>professional services agreement</w:t>
      </w:r>
      <w:r w:rsidR="00C6014B">
        <w:t xml:space="preserve"> fee increase.  </w:t>
      </w:r>
      <w:r w:rsidRPr="00C35B59">
        <w:t xml:space="preserve"> </w:t>
      </w:r>
    </w:p>
    <w:p w14:paraId="4BC42E73" w14:textId="77777777" w:rsidR="00C62A60" w:rsidRPr="00DE7B84" w:rsidRDefault="00C62A60">
      <w:pPr>
        <w:ind w:left="1440"/>
        <w:rPr>
          <w:highlight w:val="yellow"/>
        </w:rPr>
      </w:pPr>
    </w:p>
    <w:p w14:paraId="4BC42E74" w14:textId="68104BA7" w:rsidR="00C62A60" w:rsidRPr="00DE7B84" w:rsidRDefault="00C15CA6">
      <w:pPr>
        <w:ind w:left="1440"/>
        <w:rPr>
          <w:highlight w:val="yellow"/>
        </w:rPr>
      </w:pPr>
      <w:r w:rsidRPr="00C35B59">
        <w:rPr>
          <w:color w:val="000000"/>
        </w:rPr>
        <w:t xml:space="preserve">The </w:t>
      </w:r>
      <w:r w:rsidRPr="0064105F">
        <w:t xml:space="preserve">Director of the DAS respectfully </w:t>
      </w:r>
      <w:r w:rsidR="00546AB0" w:rsidRPr="0064105F">
        <w:t xml:space="preserve">informs the County Board that he plans to </w:t>
      </w:r>
      <w:r w:rsidRPr="0064105F">
        <w:t xml:space="preserve">execute a </w:t>
      </w:r>
      <w:r w:rsidR="009B503C" w:rsidRPr="0064105F">
        <w:t xml:space="preserve">professional services agreement </w:t>
      </w:r>
      <w:r w:rsidR="00C6014B">
        <w:t xml:space="preserve">fee revision in the amount of $132,102 </w:t>
      </w:r>
      <w:r w:rsidRPr="0064105F">
        <w:t xml:space="preserve">with </w:t>
      </w:r>
      <w:r w:rsidR="00C35B59" w:rsidRPr="0064105F">
        <w:t>The Sigma Group</w:t>
      </w:r>
      <w:r w:rsidR="009B503C" w:rsidRPr="0064105F">
        <w:t xml:space="preserve"> for design services</w:t>
      </w:r>
      <w:r w:rsidRPr="0064105F">
        <w:t xml:space="preserve"> for the </w:t>
      </w:r>
      <w:r w:rsidR="00C35B59" w:rsidRPr="0064105F">
        <w:t>South Shore Park</w:t>
      </w:r>
      <w:r w:rsidR="009B503C" w:rsidRPr="0064105F">
        <w:t xml:space="preserve"> Improvements</w:t>
      </w:r>
      <w:r w:rsidRPr="0064105F">
        <w:t>, which</w:t>
      </w:r>
      <w:r w:rsidR="00C6014B">
        <w:t xml:space="preserve"> brings the agreement amount to</w:t>
      </w:r>
      <w:bookmarkStart w:id="0" w:name="_GoBack"/>
      <w:bookmarkEnd w:id="0"/>
      <w:r w:rsidR="009B503C" w:rsidRPr="0064105F">
        <w:t xml:space="preserve"> </w:t>
      </w:r>
      <w:r w:rsidRPr="0064105F">
        <w:t>$</w:t>
      </w:r>
      <w:r w:rsidR="0064105F" w:rsidRPr="0064105F">
        <w:t>229,572.00</w:t>
      </w:r>
      <w:r w:rsidRPr="0064105F">
        <w:t>.</w:t>
      </w:r>
    </w:p>
    <w:p w14:paraId="4BC42E75" w14:textId="77777777" w:rsidR="00C62A60" w:rsidRPr="00DE7B84" w:rsidRDefault="00C62A60">
      <w:pPr>
        <w:ind w:left="1440" w:right="720"/>
        <w:rPr>
          <w:highlight w:val="yellow"/>
        </w:rPr>
      </w:pPr>
    </w:p>
    <w:p w14:paraId="4BC42E76" w14:textId="77777777" w:rsidR="00C62A60" w:rsidRPr="00C35B59" w:rsidRDefault="009B503C">
      <w:pPr>
        <w:ind w:left="1440" w:right="720"/>
      </w:pPr>
      <w:r w:rsidRPr="00C35B59">
        <w:t>Prepared by:</w:t>
      </w:r>
      <w:r w:rsidRPr="00C35B59">
        <w:tab/>
      </w:r>
      <w:r w:rsidR="00C35B59" w:rsidRPr="00C35B59">
        <w:t>Sean Hayes</w:t>
      </w:r>
      <w:r w:rsidR="00C15CA6" w:rsidRPr="00C35B59">
        <w:t xml:space="preserve">, Project Manager, </w:t>
      </w:r>
      <w:r w:rsidR="00C35B59" w:rsidRPr="00C35B59">
        <w:t>Environmental Services</w:t>
      </w:r>
      <w:r w:rsidRPr="00C35B59">
        <w:t xml:space="preserve">, </w:t>
      </w:r>
      <w:r w:rsidR="00C15CA6" w:rsidRPr="00C35B59">
        <w:t>AE&amp;ES, DAS-FM</w:t>
      </w:r>
    </w:p>
    <w:p w14:paraId="4BC42E77" w14:textId="77777777" w:rsidR="00C62A60" w:rsidRPr="00DE7B84" w:rsidRDefault="00C62A60">
      <w:pPr>
        <w:ind w:left="1440" w:right="720"/>
        <w:rPr>
          <w:highlight w:val="yellow"/>
        </w:rPr>
      </w:pPr>
    </w:p>
    <w:p w14:paraId="4BC42E78" w14:textId="77777777" w:rsidR="00C62A60" w:rsidRDefault="00C15CA6">
      <w:pPr>
        <w:ind w:left="1440" w:right="720"/>
        <w:rPr>
          <w:b/>
          <w:bCs/>
        </w:rPr>
      </w:pPr>
      <w:r w:rsidRPr="00C35B59">
        <w:t>Approved By:</w:t>
      </w:r>
    </w:p>
    <w:p w14:paraId="4BC42E79" w14:textId="77777777" w:rsidR="00C62A60" w:rsidRDefault="00C62A60">
      <w:pPr>
        <w:ind w:left="1440" w:right="720"/>
        <w:rPr>
          <w:b/>
          <w:bCs/>
        </w:rPr>
      </w:pPr>
    </w:p>
    <w:p w14:paraId="4BC42E7A" w14:textId="77777777" w:rsidR="00C62A60" w:rsidRDefault="00C62A60">
      <w:pPr>
        <w:ind w:left="1440" w:right="720"/>
        <w:rPr>
          <w:b/>
          <w:bCs/>
        </w:rPr>
      </w:pPr>
    </w:p>
    <w:p w14:paraId="4BC42E7B" w14:textId="77777777" w:rsidR="00C62A60" w:rsidRDefault="00C15CA6">
      <w:pPr>
        <w:tabs>
          <w:tab w:val="left" w:pos="6120"/>
        </w:tabs>
        <w:ind w:left="1440"/>
      </w:pPr>
      <w:r>
        <w:t>___________________________</w:t>
      </w:r>
    </w:p>
    <w:p w14:paraId="4BC42E7C" w14:textId="77777777" w:rsidR="00C62A60" w:rsidRDefault="00C15CA6">
      <w:pPr>
        <w:tabs>
          <w:tab w:val="left" w:pos="6120"/>
        </w:tabs>
        <w:ind w:left="1440"/>
      </w:pPr>
      <w:r>
        <w:t>Gregory G. High. P.E., Director</w:t>
      </w:r>
    </w:p>
    <w:p w14:paraId="4BC42E7D" w14:textId="77777777" w:rsidR="00C62A60" w:rsidRDefault="00C15CA6">
      <w:pPr>
        <w:tabs>
          <w:tab w:val="left" w:pos="6120"/>
        </w:tabs>
        <w:ind w:left="1440"/>
      </w:pPr>
      <w:r>
        <w:t>AE&amp;ES Section, DAS-FM Division</w:t>
      </w:r>
    </w:p>
    <w:p w14:paraId="4BC42E7E" w14:textId="77777777" w:rsidR="00C62A60" w:rsidRDefault="00C15CA6">
      <w:pPr>
        <w:ind w:left="1440" w:right="720"/>
      </w:pPr>
      <w:r>
        <w:t xml:space="preserve">Department of Administrative Services </w:t>
      </w:r>
    </w:p>
    <w:p w14:paraId="4BC42E7F" w14:textId="77777777" w:rsidR="00C62A60" w:rsidRDefault="00C15CA6">
      <w:pPr>
        <w:ind w:left="1440"/>
      </w:pPr>
      <w:r>
        <w:tab/>
      </w:r>
    </w:p>
    <w:p w14:paraId="4BC42E80" w14:textId="77777777" w:rsidR="00D15457" w:rsidRDefault="00D15457" w:rsidP="00D15457">
      <w:pPr>
        <w:ind w:left="1440"/>
      </w:pPr>
      <w:r>
        <w:t>Attachments:</w:t>
      </w:r>
      <w:r>
        <w:tab/>
      </w:r>
    </w:p>
    <w:p w14:paraId="4BC42E81" w14:textId="77777777" w:rsidR="00D15457" w:rsidRDefault="00591F9C" w:rsidP="00D15457">
      <w:pPr>
        <w:pStyle w:val="ListParagraph"/>
        <w:numPr>
          <w:ilvl w:val="0"/>
          <w:numId w:val="4"/>
        </w:numPr>
        <w:ind w:left="3240"/>
      </w:pPr>
      <w:r>
        <w:t>Fee Increase Approval</w:t>
      </w:r>
    </w:p>
    <w:p w14:paraId="4BC42E82" w14:textId="77777777" w:rsidR="00C62A60" w:rsidRDefault="00C62A60">
      <w:pPr>
        <w:ind w:left="1440"/>
      </w:pPr>
    </w:p>
    <w:p w14:paraId="4BC42E83" w14:textId="77777777" w:rsidR="00C62A60" w:rsidRDefault="00C62A60">
      <w:pPr>
        <w:pStyle w:val="NormalWeb"/>
        <w:spacing w:before="0" w:beforeAutospacing="0" w:after="0" w:afterAutospacing="0"/>
        <w:ind w:left="1440"/>
      </w:pPr>
    </w:p>
    <w:p w14:paraId="4BC42E84" w14:textId="77777777" w:rsidR="00C62A60" w:rsidRDefault="00C15CA6">
      <w:pPr>
        <w:ind w:left="1440"/>
      </w:pPr>
      <w:r>
        <w:t>Cc:</w:t>
      </w:r>
      <w:r>
        <w:tab/>
        <w:t>Chris Abele, County Executive</w:t>
      </w:r>
    </w:p>
    <w:p w14:paraId="4BC42E85" w14:textId="77777777" w:rsidR="00C62A60" w:rsidRDefault="00C15CA6">
      <w:pPr>
        <w:ind w:left="1440" w:firstLine="720"/>
      </w:pPr>
      <w:r>
        <w:t>Raisa Koltun, Chief of Staff, County Executive’s Office</w:t>
      </w:r>
    </w:p>
    <w:p w14:paraId="4BC42E86" w14:textId="77777777" w:rsidR="00C62A60" w:rsidRDefault="00C15CA6">
      <w:pPr>
        <w:ind w:left="1440" w:firstLine="720"/>
      </w:pPr>
      <w:r>
        <w:t>Kelly Bablitch, Chief of Staff, County Board</w:t>
      </w:r>
    </w:p>
    <w:p w14:paraId="4BC42E87" w14:textId="7A953D5B" w:rsidR="00C62A60" w:rsidRDefault="00A47141">
      <w:pPr>
        <w:ind w:left="1440" w:right="720" w:firstLine="720"/>
      </w:pPr>
      <w:r>
        <w:t>Teig Whaley</w:t>
      </w:r>
      <w:r w:rsidR="00C6014B">
        <w:t>-</w:t>
      </w:r>
      <w:r>
        <w:t>Smith</w:t>
      </w:r>
      <w:r w:rsidR="00C15CA6">
        <w:t>, Director, Department of Administrative Services</w:t>
      </w:r>
    </w:p>
    <w:p w14:paraId="4BC42E88" w14:textId="4A5FBFBF" w:rsidR="00C62A60" w:rsidRDefault="00C15CA6">
      <w:pPr>
        <w:ind w:left="1440"/>
      </w:pPr>
      <w:r>
        <w:tab/>
      </w:r>
      <w:r w:rsidR="00C6014B">
        <w:t>Steve Kreklow</w:t>
      </w:r>
      <w:r>
        <w:t xml:space="preserve"> Fiscal &amp; Budget Director, DAS</w:t>
      </w:r>
    </w:p>
    <w:p w14:paraId="4BC42E89" w14:textId="77777777" w:rsidR="00C62A60" w:rsidRDefault="00C15CA6">
      <w:pPr>
        <w:ind w:left="1440"/>
      </w:pPr>
      <w:r>
        <w:tab/>
        <w:t>Vince Masterson, Fiscal &amp; Strategic Asset Coordinator, DAS</w:t>
      </w:r>
    </w:p>
    <w:p w14:paraId="4BC42E8A" w14:textId="77777777" w:rsidR="00C62A60" w:rsidRDefault="00C15CA6">
      <w:pPr>
        <w:ind w:left="1440"/>
      </w:pPr>
      <w:r>
        <w:tab/>
        <w:t>Pamela Bryant, Capital Finance Manager, Comptroller’s Office</w:t>
      </w:r>
    </w:p>
    <w:p w14:paraId="4BC42E8B" w14:textId="77777777" w:rsidR="00C62A60" w:rsidRDefault="00C15CA6">
      <w:pPr>
        <w:ind w:left="1440"/>
      </w:pPr>
      <w:r>
        <w:tab/>
        <w:t>Justin Rodriguez, Capital Finance Analyst, Comptroller’s Office</w:t>
      </w:r>
      <w:r>
        <w:tab/>
      </w:r>
    </w:p>
    <w:p w14:paraId="4BC42E8C" w14:textId="77777777" w:rsidR="00C62A60" w:rsidRDefault="00C15CA6">
      <w:pPr>
        <w:tabs>
          <w:tab w:val="left" w:pos="2070"/>
          <w:tab w:val="right" w:pos="9000"/>
          <w:tab w:val="right" w:pos="10080"/>
        </w:tabs>
        <w:ind w:left="1278" w:right="90"/>
      </w:pPr>
      <w:r>
        <w:tab/>
      </w:r>
    </w:p>
    <w:p w14:paraId="4BC42E8D" w14:textId="77777777" w:rsidR="00C62A60" w:rsidRDefault="00C62A60">
      <w:pPr>
        <w:ind w:left="1440"/>
        <w:rPr>
          <w:sz w:val="16"/>
          <w:szCs w:val="16"/>
        </w:rPr>
      </w:pPr>
    </w:p>
    <w:sectPr w:rsidR="00C62A60">
      <w:headerReference w:type="default" r:id="rId10"/>
      <w:pgSz w:w="12240" w:h="15840"/>
      <w:pgMar w:top="720" w:right="1440"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42E90" w14:textId="77777777" w:rsidR="00C62A60" w:rsidRDefault="00C15CA6">
      <w:r>
        <w:separator/>
      </w:r>
    </w:p>
  </w:endnote>
  <w:endnote w:type="continuationSeparator" w:id="0">
    <w:p w14:paraId="4BC42E91" w14:textId="77777777" w:rsidR="00C62A60" w:rsidRDefault="00C1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2E8E" w14:textId="77777777" w:rsidR="00C62A60" w:rsidRDefault="00C15CA6">
      <w:r>
        <w:separator/>
      </w:r>
    </w:p>
  </w:footnote>
  <w:footnote w:type="continuationSeparator" w:id="0">
    <w:p w14:paraId="4BC42E8F" w14:textId="77777777" w:rsidR="00C62A60" w:rsidRDefault="00C1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2E92" w14:textId="77777777" w:rsidR="00D15457" w:rsidRDefault="00C15CA6">
    <w:pPr>
      <w:pStyle w:val="Header"/>
    </w:pPr>
    <w:r>
      <w:t>Chairwoman Marina Dimitrijevic</w:t>
    </w:r>
  </w:p>
  <w:p w14:paraId="4BC42E93" w14:textId="77777777" w:rsidR="00C62A60" w:rsidRDefault="0064105F">
    <w:pPr>
      <w:pStyle w:val="Header"/>
    </w:pPr>
    <w:r>
      <w:t>April 24</w:t>
    </w:r>
    <w:r w:rsidR="00D15457">
      <w:t>, 2015</w:t>
    </w:r>
  </w:p>
  <w:p w14:paraId="4BC42E94" w14:textId="77777777" w:rsidR="00C62A60" w:rsidRDefault="00C15CA6">
    <w:pPr>
      <w:pStyle w:val="Head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E084D">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F1C"/>
    <w:multiLevelType w:val="singleLevel"/>
    <w:tmpl w:val="A856982E"/>
    <w:lvl w:ilvl="0">
      <w:start w:val="2"/>
      <w:numFmt w:val="upperRoman"/>
      <w:lvlText w:val="%1."/>
      <w:lvlJc w:val="left"/>
      <w:pPr>
        <w:tabs>
          <w:tab w:val="num" w:pos="855"/>
        </w:tabs>
        <w:ind w:left="855" w:hanging="720"/>
      </w:pPr>
      <w:rPr>
        <w:rFonts w:hint="default"/>
        <w:u w:val="none"/>
      </w:rPr>
    </w:lvl>
  </w:abstractNum>
  <w:abstractNum w:abstractNumId="1" w15:restartNumberingAfterBreak="0">
    <w:nsid w:val="269D0A3C"/>
    <w:multiLevelType w:val="hybridMultilevel"/>
    <w:tmpl w:val="B5F402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29566F7"/>
    <w:multiLevelType w:val="hybridMultilevel"/>
    <w:tmpl w:val="D20254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AE363C8"/>
    <w:multiLevelType w:val="hybridMultilevel"/>
    <w:tmpl w:val="8432F2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A6"/>
    <w:rsid w:val="000440F5"/>
    <w:rsid w:val="00095929"/>
    <w:rsid w:val="001260FD"/>
    <w:rsid w:val="001446CA"/>
    <w:rsid w:val="001A6DB5"/>
    <w:rsid w:val="003A16B9"/>
    <w:rsid w:val="00546AB0"/>
    <w:rsid w:val="00591F9C"/>
    <w:rsid w:val="0064105F"/>
    <w:rsid w:val="00663F09"/>
    <w:rsid w:val="009B503C"/>
    <w:rsid w:val="00A31144"/>
    <w:rsid w:val="00A47141"/>
    <w:rsid w:val="00AB6243"/>
    <w:rsid w:val="00AE084D"/>
    <w:rsid w:val="00C15CA6"/>
    <w:rsid w:val="00C35B59"/>
    <w:rsid w:val="00C6014B"/>
    <w:rsid w:val="00C62A60"/>
    <w:rsid w:val="00CB7646"/>
    <w:rsid w:val="00D15457"/>
    <w:rsid w:val="00DE7B84"/>
    <w:rsid w:val="00DF4960"/>
    <w:rsid w:val="00E702B1"/>
    <w:rsid w:val="00F26FE0"/>
    <w:rsid w:val="00F379C0"/>
    <w:rsid w:val="00F4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42E51"/>
  <w15:chartTrackingRefBased/>
  <w15:docId w15:val="{9AB752EC-1581-485F-9C51-7AEFA42D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44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spacing w:line="480" w:lineRule="auto"/>
      <w:ind w:lef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hanging="1440"/>
    </w:pPr>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1440"/>
    </w:pPr>
    <w:rPr>
      <w:rFonts w:ascii="Arial" w:hAnsi="Arial" w:cs="Arial"/>
      <w:sz w:val="22"/>
    </w:rPr>
  </w:style>
  <w:style w:type="paragraph" w:styleId="ListParagraph">
    <w:name w:val="List Paragraph"/>
    <w:basedOn w:val="Normal"/>
    <w:uiPriority w:val="34"/>
    <w:qFormat/>
    <w:rsid w:val="00D15457"/>
    <w:pPr>
      <w:ind w:left="720"/>
      <w:contextualSpacing/>
    </w:pPr>
  </w:style>
  <w:style w:type="paragraph" w:styleId="BalloonText">
    <w:name w:val="Balloon Text"/>
    <w:basedOn w:val="Normal"/>
    <w:link w:val="BalloonTextChar"/>
    <w:uiPriority w:val="99"/>
    <w:semiHidden/>
    <w:unhideWhenUsed/>
    <w:rsid w:val="00126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6" ma:contentTypeDescription="Create a new document." ma:contentTypeScope="" ma:versionID="8e17dd25def9a68cf33f617b530ba4ce">
  <xsd:schema xmlns:xsd="http://www.w3.org/2001/XMLSchema" xmlns:xs="http://www.w3.org/2001/XMLSchema" xmlns:p="http://schemas.microsoft.com/office/2006/metadata/properties" xmlns:ns2="8b29e8de-ae70-46cf-8021-b61553d83343" xmlns:ns3="8ccd422b-0679-414e-b98a-319e9960e8f7" targetNamespace="http://schemas.microsoft.com/office/2006/metadata/properties" ma:root="true" ma:fieldsID="85410323955ec5527f52065db4b88b02" ns2:_="" ns3:_="">
    <xsd:import namespace="8b29e8de-ae70-46cf-8021-b61553d83343"/>
    <xsd:import namespace="8ccd422b-0679-414e-b98a-319e9960e8f7"/>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119F1-9E24-472E-8814-E633EB04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94FA-FB46-4DF0-B9E6-8E25E577C627}">
  <ds:schemaRefs>
    <ds:schemaRef ds:uri="http://purl.org/dc/dcmitype/"/>
    <ds:schemaRef ds:uri="http://schemas.microsoft.com/office/2006/documentManagement/types"/>
    <ds:schemaRef ds:uri="http://purl.org/dc/elements/1.1/"/>
    <ds:schemaRef ds:uri="http://purl.org/dc/terms/"/>
    <ds:schemaRef ds:uri="8ccd422b-0679-414e-b98a-319e9960e8f7"/>
    <ds:schemaRef ds:uri="http://schemas.microsoft.com/office/infopath/2007/PartnerControls"/>
    <ds:schemaRef ds:uri="http://schemas.openxmlformats.org/package/2006/metadata/core-properties"/>
    <ds:schemaRef ds:uri="8b29e8de-ae70-46cf-8021-b61553d8334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504C47-30D0-4517-BDA9-E3C7FA5BC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COUNTY OF MILWAUKEE</vt:lpstr>
    </vt:vector>
  </TitlesOfParts>
  <Company>County</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MILWAUKEE</dc:title>
  <dc:subject/>
  <dc:creator>Milwaukee</dc:creator>
  <cp:keywords/>
  <dc:description/>
  <cp:lastModifiedBy>High, Gregory</cp:lastModifiedBy>
  <cp:revision>4</cp:revision>
  <cp:lastPrinted>2015-04-24T20:02:00Z</cp:lastPrinted>
  <dcterms:created xsi:type="dcterms:W3CDTF">2015-05-04T20:56:00Z</dcterms:created>
  <dcterms:modified xsi:type="dcterms:W3CDTF">2015-05-26T14:20:00Z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