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3C" w:rsidRPr="00134DD7" w:rsidRDefault="00D93581" w:rsidP="00D93581">
      <w:pPr>
        <w:spacing w:after="0"/>
        <w:jc w:val="center"/>
        <w:rPr>
          <w:rFonts w:ascii="Arial" w:hAnsi="Arial" w:cs="Arial"/>
          <w:b/>
          <w:sz w:val="28"/>
          <w:szCs w:val="28"/>
        </w:rPr>
      </w:pPr>
      <w:r w:rsidRPr="00134DD7">
        <w:rPr>
          <w:rFonts w:ascii="Arial" w:hAnsi="Arial" w:cs="Arial"/>
          <w:b/>
          <w:sz w:val="28"/>
          <w:szCs w:val="28"/>
        </w:rPr>
        <w:t>COUNTY OF MILWAUKEE</w:t>
      </w:r>
    </w:p>
    <w:p w:rsidR="00D93581" w:rsidRPr="00134DD7" w:rsidRDefault="00D93581" w:rsidP="00D93581">
      <w:pPr>
        <w:spacing w:after="0"/>
        <w:jc w:val="center"/>
        <w:rPr>
          <w:rFonts w:ascii="Arial" w:hAnsi="Arial" w:cs="Arial"/>
          <w:sz w:val="20"/>
          <w:szCs w:val="20"/>
        </w:rPr>
      </w:pPr>
      <w:r w:rsidRPr="00134DD7">
        <w:rPr>
          <w:rFonts w:ascii="Arial" w:hAnsi="Arial" w:cs="Arial"/>
          <w:sz w:val="20"/>
          <w:szCs w:val="20"/>
        </w:rPr>
        <w:t>Inter-Office Communication</w:t>
      </w:r>
    </w:p>
    <w:p w:rsidR="00D93581" w:rsidRDefault="00D93581" w:rsidP="00D93581">
      <w:pPr>
        <w:spacing w:after="0"/>
        <w:jc w:val="center"/>
        <w:rPr>
          <w:sz w:val="24"/>
          <w:szCs w:val="24"/>
        </w:rPr>
      </w:pPr>
    </w:p>
    <w:p w:rsidR="00134DD7" w:rsidRDefault="00134DD7" w:rsidP="00D93581">
      <w:pPr>
        <w:spacing w:after="0"/>
        <w:jc w:val="center"/>
        <w:rPr>
          <w:sz w:val="24"/>
          <w:szCs w:val="24"/>
        </w:rPr>
      </w:pPr>
    </w:p>
    <w:p w:rsidR="00D93581" w:rsidRPr="00D901BC" w:rsidRDefault="00D93581" w:rsidP="00D93581">
      <w:pPr>
        <w:spacing w:after="0"/>
        <w:rPr>
          <w:rFonts w:ascii="Arial" w:hAnsi="Arial" w:cs="Arial"/>
          <w:sz w:val="24"/>
          <w:szCs w:val="24"/>
        </w:rPr>
      </w:pPr>
      <w:r w:rsidRPr="00134DD7">
        <w:rPr>
          <w:rFonts w:ascii="Arial" w:hAnsi="Arial" w:cs="Arial"/>
          <w:sz w:val="24"/>
          <w:szCs w:val="24"/>
        </w:rPr>
        <w:t>DATE:</w:t>
      </w:r>
      <w:r w:rsidRPr="00134DD7">
        <w:rPr>
          <w:rFonts w:ascii="Arial" w:hAnsi="Arial" w:cs="Arial"/>
          <w:sz w:val="24"/>
          <w:szCs w:val="24"/>
        </w:rPr>
        <w:tab/>
      </w:r>
      <w:r w:rsidRPr="00134DD7">
        <w:rPr>
          <w:rFonts w:ascii="Arial" w:hAnsi="Arial" w:cs="Arial"/>
          <w:sz w:val="24"/>
          <w:szCs w:val="24"/>
        </w:rPr>
        <w:tab/>
      </w:r>
      <w:r w:rsidR="003D6007">
        <w:rPr>
          <w:rFonts w:ascii="Arial" w:hAnsi="Arial" w:cs="Arial"/>
          <w:sz w:val="24"/>
          <w:szCs w:val="24"/>
        </w:rPr>
        <w:t>September 2</w:t>
      </w:r>
      <w:r w:rsidR="00984859">
        <w:rPr>
          <w:rFonts w:ascii="Arial" w:hAnsi="Arial" w:cs="Arial"/>
          <w:sz w:val="24"/>
          <w:szCs w:val="24"/>
        </w:rPr>
        <w:t>, 2014</w:t>
      </w:r>
    </w:p>
    <w:p w:rsidR="00D93581" w:rsidRPr="00134DD7" w:rsidRDefault="00D93581" w:rsidP="00D93581">
      <w:pPr>
        <w:spacing w:after="0"/>
        <w:rPr>
          <w:rFonts w:ascii="Arial" w:hAnsi="Arial" w:cs="Arial"/>
          <w:sz w:val="24"/>
          <w:szCs w:val="24"/>
        </w:rPr>
      </w:pPr>
    </w:p>
    <w:p w:rsidR="00D93581" w:rsidRPr="00D901BC" w:rsidRDefault="00D93581" w:rsidP="00D93581">
      <w:pPr>
        <w:spacing w:after="0"/>
        <w:rPr>
          <w:rFonts w:ascii="Arial" w:hAnsi="Arial" w:cs="Arial"/>
          <w:sz w:val="24"/>
          <w:szCs w:val="24"/>
        </w:rPr>
      </w:pPr>
      <w:r w:rsidRPr="00134DD7">
        <w:rPr>
          <w:rFonts w:ascii="Arial" w:hAnsi="Arial" w:cs="Arial"/>
          <w:sz w:val="24"/>
          <w:szCs w:val="24"/>
        </w:rPr>
        <w:t>TO:</w:t>
      </w:r>
      <w:r w:rsidRPr="00134DD7">
        <w:rPr>
          <w:rFonts w:ascii="Arial" w:hAnsi="Arial" w:cs="Arial"/>
          <w:sz w:val="24"/>
          <w:szCs w:val="24"/>
        </w:rPr>
        <w:tab/>
      </w:r>
      <w:r w:rsidRPr="00134DD7">
        <w:rPr>
          <w:rFonts w:ascii="Arial" w:hAnsi="Arial" w:cs="Arial"/>
          <w:sz w:val="24"/>
          <w:szCs w:val="24"/>
        </w:rPr>
        <w:tab/>
      </w:r>
      <w:r w:rsidRPr="00D901BC">
        <w:rPr>
          <w:rFonts w:ascii="Arial" w:hAnsi="Arial" w:cs="Arial"/>
          <w:sz w:val="24"/>
          <w:szCs w:val="24"/>
        </w:rPr>
        <w:t>Marina Dimi</w:t>
      </w:r>
      <w:r w:rsidR="003D6007">
        <w:rPr>
          <w:rFonts w:ascii="Arial" w:hAnsi="Arial" w:cs="Arial"/>
          <w:sz w:val="24"/>
          <w:szCs w:val="24"/>
        </w:rPr>
        <w:t xml:space="preserve">trijevic, Chairwoman, </w:t>
      </w:r>
      <w:r w:rsidRPr="00D901BC">
        <w:rPr>
          <w:rFonts w:ascii="Arial" w:hAnsi="Arial" w:cs="Arial"/>
          <w:sz w:val="24"/>
          <w:szCs w:val="24"/>
        </w:rPr>
        <w:t>County Board of Supervisors</w:t>
      </w:r>
    </w:p>
    <w:p w:rsidR="00D93581" w:rsidRPr="00134DD7" w:rsidRDefault="00D93581" w:rsidP="00D93581">
      <w:pPr>
        <w:spacing w:after="0"/>
        <w:rPr>
          <w:rFonts w:ascii="Arial" w:hAnsi="Arial" w:cs="Arial"/>
          <w:sz w:val="24"/>
          <w:szCs w:val="24"/>
        </w:rPr>
      </w:pPr>
    </w:p>
    <w:p w:rsidR="00270EA2" w:rsidRPr="00D901BC" w:rsidRDefault="00270EA2" w:rsidP="00D93581">
      <w:pPr>
        <w:spacing w:after="0"/>
        <w:rPr>
          <w:rFonts w:ascii="Arial" w:hAnsi="Arial" w:cs="Arial"/>
          <w:sz w:val="24"/>
          <w:szCs w:val="24"/>
        </w:rPr>
      </w:pPr>
      <w:r w:rsidRPr="00134DD7">
        <w:rPr>
          <w:rFonts w:ascii="Arial" w:hAnsi="Arial" w:cs="Arial"/>
          <w:sz w:val="24"/>
          <w:szCs w:val="24"/>
        </w:rPr>
        <w:t>FROM:</w:t>
      </w:r>
      <w:r w:rsidRPr="00134DD7">
        <w:rPr>
          <w:rFonts w:ascii="Arial" w:hAnsi="Arial" w:cs="Arial"/>
          <w:sz w:val="24"/>
          <w:szCs w:val="24"/>
        </w:rPr>
        <w:tab/>
      </w:r>
      <w:r w:rsidR="002800FD" w:rsidRPr="00D901BC">
        <w:rPr>
          <w:rFonts w:ascii="Arial" w:hAnsi="Arial" w:cs="Arial"/>
          <w:sz w:val="24"/>
          <w:szCs w:val="24"/>
        </w:rPr>
        <w:t>Teig Whaley-Smit</w:t>
      </w:r>
      <w:r w:rsidRPr="00D901BC">
        <w:rPr>
          <w:rFonts w:ascii="Arial" w:hAnsi="Arial" w:cs="Arial"/>
          <w:sz w:val="24"/>
          <w:szCs w:val="24"/>
        </w:rPr>
        <w:t>h, Director, DAS-Economic Development</w:t>
      </w:r>
    </w:p>
    <w:p w:rsidR="00270EA2" w:rsidRPr="00134DD7" w:rsidRDefault="00270EA2" w:rsidP="00D93581">
      <w:pPr>
        <w:spacing w:after="0"/>
        <w:rPr>
          <w:rFonts w:ascii="Arial" w:hAnsi="Arial" w:cs="Arial"/>
          <w:sz w:val="24"/>
          <w:szCs w:val="24"/>
        </w:rPr>
      </w:pPr>
    </w:p>
    <w:p w:rsidR="00270EA2" w:rsidRPr="00D901BC" w:rsidRDefault="00270EA2" w:rsidP="00D901BC">
      <w:pPr>
        <w:spacing w:after="0"/>
        <w:ind w:left="1440" w:hanging="1440"/>
        <w:jc w:val="both"/>
        <w:rPr>
          <w:rFonts w:ascii="Arial" w:hAnsi="Arial" w:cs="Arial"/>
          <w:sz w:val="24"/>
          <w:szCs w:val="24"/>
        </w:rPr>
      </w:pPr>
      <w:r w:rsidRPr="00134DD7">
        <w:rPr>
          <w:rFonts w:ascii="Arial" w:hAnsi="Arial" w:cs="Arial"/>
          <w:sz w:val="24"/>
          <w:szCs w:val="24"/>
        </w:rPr>
        <w:t>SUBJECT:</w:t>
      </w:r>
      <w:r w:rsidRPr="00134DD7">
        <w:rPr>
          <w:rFonts w:ascii="Arial" w:hAnsi="Arial" w:cs="Arial"/>
          <w:sz w:val="24"/>
          <w:szCs w:val="24"/>
        </w:rPr>
        <w:tab/>
      </w:r>
      <w:r w:rsidRPr="00D901BC">
        <w:rPr>
          <w:rFonts w:ascii="Arial" w:hAnsi="Arial" w:cs="Arial"/>
          <w:sz w:val="24"/>
          <w:szCs w:val="24"/>
        </w:rPr>
        <w:t xml:space="preserve">Requesting authorization to </w:t>
      </w:r>
      <w:r w:rsidR="00984859" w:rsidRPr="00984859">
        <w:rPr>
          <w:rFonts w:ascii="Arial" w:hAnsi="Arial" w:cs="Arial"/>
          <w:sz w:val="24"/>
          <w:szCs w:val="24"/>
        </w:rPr>
        <w:t>(a) amend contract CFC00255 with the State of Wisconsin Department of Children and Families for administration of the Milwaukee Early Care Administration (MECA) child care program for 2014 and 2015, (b) enter into a 2014 and 2015 State and County Contract Covering Social Services, Community Programs and Income Maintenance with the State of Wisconsin Department of Health Services (MILES),  and (c) to enter into a lease with the State of Wisconsin Department of Health Services for a portion of the Marcia P. Coggs Center.</w:t>
      </w:r>
    </w:p>
    <w:p w:rsidR="00270EA2" w:rsidRPr="00D901BC" w:rsidRDefault="00270EA2" w:rsidP="00D901BC">
      <w:pPr>
        <w:spacing w:after="0"/>
        <w:ind w:left="1440" w:hanging="1440"/>
        <w:jc w:val="both"/>
        <w:rPr>
          <w:rFonts w:ascii="Arial" w:hAnsi="Arial" w:cs="Arial"/>
          <w:sz w:val="24"/>
          <w:szCs w:val="24"/>
        </w:rPr>
      </w:pPr>
    </w:p>
    <w:p w:rsidR="00270EA2" w:rsidRPr="00D901BC" w:rsidRDefault="00134DD7" w:rsidP="00D901BC">
      <w:pPr>
        <w:spacing w:after="0"/>
        <w:ind w:left="1440" w:hanging="1440"/>
        <w:jc w:val="both"/>
        <w:rPr>
          <w:rFonts w:ascii="Arial" w:hAnsi="Arial" w:cs="Arial"/>
          <w:b/>
          <w:sz w:val="24"/>
          <w:szCs w:val="24"/>
        </w:rPr>
      </w:pPr>
      <w:r>
        <w:rPr>
          <w:rFonts w:ascii="Arial" w:hAnsi="Arial" w:cs="Arial"/>
          <w:b/>
          <w:sz w:val="24"/>
          <w:szCs w:val="24"/>
        </w:rPr>
        <w:t>Issue</w:t>
      </w:r>
    </w:p>
    <w:p w:rsidR="00270EA2" w:rsidRPr="00D901BC" w:rsidRDefault="00270EA2" w:rsidP="00D901BC">
      <w:pPr>
        <w:spacing w:after="0"/>
        <w:jc w:val="both"/>
        <w:rPr>
          <w:rFonts w:ascii="Arial" w:hAnsi="Arial" w:cs="Arial"/>
          <w:sz w:val="24"/>
          <w:szCs w:val="24"/>
        </w:rPr>
      </w:pPr>
      <w:r w:rsidRPr="00D901BC">
        <w:rPr>
          <w:rFonts w:ascii="Arial" w:hAnsi="Arial" w:cs="Arial"/>
          <w:sz w:val="24"/>
          <w:szCs w:val="24"/>
        </w:rPr>
        <w:t xml:space="preserve">The Economic Development Director, Department of Administrative Services, is requesting approval to </w:t>
      </w:r>
      <w:r w:rsidR="00117B4E" w:rsidRPr="00D901BC">
        <w:rPr>
          <w:rFonts w:ascii="Arial" w:hAnsi="Arial" w:cs="Arial"/>
          <w:sz w:val="24"/>
          <w:szCs w:val="24"/>
        </w:rPr>
        <w:t>amend</w:t>
      </w:r>
      <w:r w:rsidR="00470633" w:rsidRPr="00D901BC">
        <w:rPr>
          <w:rFonts w:ascii="Arial" w:hAnsi="Arial" w:cs="Arial"/>
          <w:sz w:val="24"/>
          <w:szCs w:val="24"/>
        </w:rPr>
        <w:t xml:space="preserve"> </w:t>
      </w:r>
      <w:r w:rsidR="0034076B" w:rsidRPr="00D901BC">
        <w:rPr>
          <w:rFonts w:ascii="Arial" w:hAnsi="Arial" w:cs="Arial"/>
          <w:sz w:val="24"/>
          <w:szCs w:val="24"/>
        </w:rPr>
        <w:t xml:space="preserve">contract CFC00255 </w:t>
      </w:r>
      <w:r w:rsidRPr="00D901BC">
        <w:rPr>
          <w:rFonts w:ascii="Arial" w:hAnsi="Arial" w:cs="Arial"/>
          <w:sz w:val="24"/>
          <w:szCs w:val="24"/>
        </w:rPr>
        <w:t>with the State</w:t>
      </w:r>
      <w:r w:rsidR="00971A14" w:rsidRPr="00D901BC">
        <w:rPr>
          <w:rFonts w:ascii="Arial" w:hAnsi="Arial" w:cs="Arial"/>
          <w:sz w:val="24"/>
          <w:szCs w:val="24"/>
        </w:rPr>
        <w:t xml:space="preserve"> of Wisconsin</w:t>
      </w:r>
      <w:r w:rsidRPr="00D901BC">
        <w:rPr>
          <w:rFonts w:ascii="Arial" w:hAnsi="Arial" w:cs="Arial"/>
          <w:sz w:val="24"/>
          <w:szCs w:val="24"/>
        </w:rPr>
        <w:t xml:space="preserve"> Department of Children and Families (DCF) for</w:t>
      </w:r>
      <w:r w:rsidR="0034076B" w:rsidRPr="00D901BC">
        <w:rPr>
          <w:rFonts w:ascii="Arial" w:hAnsi="Arial" w:cs="Arial"/>
          <w:sz w:val="24"/>
          <w:szCs w:val="24"/>
        </w:rPr>
        <w:t xml:space="preserve"> administration of the Milwaukee Early Care Administr</w:t>
      </w:r>
      <w:r w:rsidR="00B634A4" w:rsidRPr="00D901BC">
        <w:rPr>
          <w:rFonts w:ascii="Arial" w:hAnsi="Arial" w:cs="Arial"/>
          <w:sz w:val="24"/>
          <w:szCs w:val="24"/>
        </w:rPr>
        <w:t>ation (MECA) child care program</w:t>
      </w:r>
      <w:r w:rsidR="0034076B" w:rsidRPr="00D901BC">
        <w:rPr>
          <w:rFonts w:ascii="Arial" w:hAnsi="Arial" w:cs="Arial"/>
          <w:sz w:val="24"/>
          <w:szCs w:val="24"/>
        </w:rPr>
        <w:t xml:space="preserve">, and to enter into a lease </w:t>
      </w:r>
      <w:r w:rsidR="00117B4E" w:rsidRPr="00D901BC">
        <w:rPr>
          <w:rFonts w:ascii="Arial" w:hAnsi="Arial" w:cs="Arial"/>
          <w:sz w:val="24"/>
          <w:szCs w:val="24"/>
        </w:rPr>
        <w:t xml:space="preserve">and service contract </w:t>
      </w:r>
      <w:r w:rsidR="0034076B" w:rsidRPr="00D901BC">
        <w:rPr>
          <w:rFonts w:ascii="Arial" w:hAnsi="Arial" w:cs="Arial"/>
          <w:sz w:val="24"/>
          <w:szCs w:val="24"/>
        </w:rPr>
        <w:t>with the State of Wisconsin Department of Health Services (DHS) for a portion of the Marcia P. Coggs Center</w:t>
      </w:r>
      <w:r w:rsidRPr="00D901BC">
        <w:rPr>
          <w:rFonts w:ascii="Arial" w:hAnsi="Arial" w:cs="Arial"/>
          <w:sz w:val="24"/>
          <w:szCs w:val="24"/>
        </w:rPr>
        <w:t>.</w:t>
      </w:r>
    </w:p>
    <w:p w:rsidR="00270EA2" w:rsidRPr="00D901BC" w:rsidRDefault="00270EA2" w:rsidP="00D901BC">
      <w:pPr>
        <w:spacing w:after="0"/>
        <w:jc w:val="both"/>
        <w:rPr>
          <w:rFonts w:ascii="Arial" w:hAnsi="Arial" w:cs="Arial"/>
          <w:sz w:val="24"/>
          <w:szCs w:val="24"/>
        </w:rPr>
      </w:pPr>
    </w:p>
    <w:p w:rsidR="00270EA2" w:rsidRPr="00D901BC" w:rsidRDefault="00134DD7" w:rsidP="00D901BC">
      <w:pPr>
        <w:spacing w:after="0"/>
        <w:jc w:val="both"/>
        <w:rPr>
          <w:rFonts w:ascii="Arial" w:hAnsi="Arial" w:cs="Arial"/>
          <w:b/>
          <w:sz w:val="24"/>
          <w:szCs w:val="24"/>
        </w:rPr>
      </w:pPr>
      <w:r>
        <w:rPr>
          <w:rFonts w:ascii="Arial" w:hAnsi="Arial" w:cs="Arial"/>
          <w:b/>
          <w:sz w:val="24"/>
          <w:szCs w:val="24"/>
        </w:rPr>
        <w:t>Background</w:t>
      </w:r>
    </w:p>
    <w:p w:rsidR="00270EA2" w:rsidRPr="00D901BC" w:rsidRDefault="00B04155" w:rsidP="00D901BC">
      <w:pPr>
        <w:spacing w:after="0"/>
        <w:jc w:val="both"/>
        <w:rPr>
          <w:rFonts w:ascii="Arial" w:hAnsi="Arial" w:cs="Arial"/>
          <w:sz w:val="24"/>
          <w:szCs w:val="24"/>
        </w:rPr>
      </w:pPr>
      <w:r w:rsidRPr="00D901BC">
        <w:rPr>
          <w:rFonts w:ascii="Arial" w:hAnsi="Arial" w:cs="Arial"/>
          <w:sz w:val="24"/>
          <w:szCs w:val="24"/>
        </w:rPr>
        <w:t xml:space="preserve">As of January 1, 2010, the State of Wisconsin assumed control over the Income Maintenance and Child Care programs.  Under this arrangement, the 344.5 County positions that supported Income Maintenance </w:t>
      </w:r>
      <w:r w:rsidR="00117B4E" w:rsidRPr="00D901BC">
        <w:rPr>
          <w:rFonts w:ascii="Arial" w:hAnsi="Arial" w:cs="Arial"/>
          <w:sz w:val="24"/>
          <w:szCs w:val="24"/>
        </w:rPr>
        <w:t xml:space="preserve">(“IM”) </w:t>
      </w:r>
      <w:r w:rsidRPr="00D901BC">
        <w:rPr>
          <w:rFonts w:ascii="Arial" w:hAnsi="Arial" w:cs="Arial"/>
          <w:sz w:val="24"/>
          <w:szCs w:val="24"/>
        </w:rPr>
        <w:t>and Child Care remained county employees, retaining the same benefits, but were supervised by the State.</w:t>
      </w:r>
    </w:p>
    <w:p w:rsidR="00B04155" w:rsidRPr="00D901BC" w:rsidRDefault="00B04155" w:rsidP="00D901BC">
      <w:pPr>
        <w:spacing w:after="0"/>
        <w:jc w:val="both"/>
        <w:rPr>
          <w:rFonts w:ascii="Arial" w:hAnsi="Arial" w:cs="Arial"/>
          <w:sz w:val="24"/>
          <w:szCs w:val="24"/>
        </w:rPr>
      </w:pPr>
    </w:p>
    <w:p w:rsidR="00B04155" w:rsidRPr="00D901BC" w:rsidRDefault="00B04155" w:rsidP="00D901BC">
      <w:pPr>
        <w:spacing w:after="0"/>
        <w:jc w:val="both"/>
        <w:rPr>
          <w:rFonts w:ascii="Arial" w:hAnsi="Arial" w:cs="Arial"/>
          <w:sz w:val="24"/>
          <w:szCs w:val="24"/>
        </w:rPr>
      </w:pPr>
      <w:r w:rsidRPr="00D901BC">
        <w:rPr>
          <w:rFonts w:ascii="Arial" w:hAnsi="Arial" w:cs="Arial"/>
          <w:sz w:val="24"/>
          <w:szCs w:val="24"/>
        </w:rPr>
        <w:t>In July 2011, the State Budget converted the county IM staff to State employees effective December 31, 2011.  In addition, the State Legislature converted the Child Care positions to State employees as of October 1, 2011.</w:t>
      </w:r>
    </w:p>
    <w:p w:rsidR="00B04155" w:rsidRPr="00D901BC" w:rsidRDefault="00B04155" w:rsidP="00D901BC">
      <w:pPr>
        <w:spacing w:after="0"/>
        <w:jc w:val="both"/>
        <w:rPr>
          <w:rFonts w:ascii="Arial" w:hAnsi="Arial" w:cs="Arial"/>
          <w:sz w:val="24"/>
          <w:szCs w:val="24"/>
        </w:rPr>
      </w:pPr>
    </w:p>
    <w:p w:rsidR="00B04155" w:rsidRPr="00D901BC" w:rsidRDefault="00B04155" w:rsidP="00D901BC">
      <w:pPr>
        <w:spacing w:after="0"/>
        <w:jc w:val="both"/>
        <w:rPr>
          <w:rFonts w:ascii="Arial" w:hAnsi="Arial" w:cs="Arial"/>
          <w:sz w:val="24"/>
          <w:szCs w:val="24"/>
        </w:rPr>
      </w:pPr>
      <w:r w:rsidRPr="00D901BC">
        <w:rPr>
          <w:rFonts w:ascii="Arial" w:hAnsi="Arial" w:cs="Arial"/>
          <w:sz w:val="24"/>
          <w:szCs w:val="24"/>
        </w:rPr>
        <w:t>Given the conversion of former county staff to State employment, the 2013 contract</w:t>
      </w:r>
      <w:r w:rsidR="00B93979" w:rsidRPr="00D901BC">
        <w:rPr>
          <w:rFonts w:ascii="Arial" w:hAnsi="Arial" w:cs="Arial"/>
          <w:sz w:val="24"/>
          <w:szCs w:val="24"/>
        </w:rPr>
        <w:t xml:space="preserve"> with DCF</w:t>
      </w:r>
      <w:r w:rsidRPr="00D901BC">
        <w:rPr>
          <w:rFonts w:ascii="Arial" w:hAnsi="Arial" w:cs="Arial"/>
          <w:sz w:val="24"/>
          <w:szCs w:val="24"/>
        </w:rPr>
        <w:t xml:space="preserve"> only reimbursed the coun</w:t>
      </w:r>
      <w:r w:rsidR="00117B4E" w:rsidRPr="00D901BC">
        <w:rPr>
          <w:rFonts w:ascii="Arial" w:hAnsi="Arial" w:cs="Arial"/>
          <w:sz w:val="24"/>
          <w:szCs w:val="24"/>
        </w:rPr>
        <w:t>ty for staff costs related to IMSD</w:t>
      </w:r>
      <w:r w:rsidRPr="00D901BC">
        <w:rPr>
          <w:rFonts w:ascii="Arial" w:hAnsi="Arial" w:cs="Arial"/>
          <w:sz w:val="24"/>
          <w:szCs w:val="24"/>
        </w:rPr>
        <w:t xml:space="preserve"> services, employee pension benefits, records center services and mail services.  Those services were provided to assist the State in its administration of the Child Care program under Wisconsin Statutes 49.826(3)(c).  </w:t>
      </w:r>
    </w:p>
    <w:p w:rsidR="00B93979" w:rsidRDefault="00B93979" w:rsidP="00D901BC">
      <w:pPr>
        <w:spacing w:after="0"/>
        <w:jc w:val="both"/>
        <w:rPr>
          <w:rFonts w:ascii="Arial" w:hAnsi="Arial" w:cs="Arial"/>
          <w:sz w:val="24"/>
          <w:szCs w:val="24"/>
        </w:rPr>
      </w:pPr>
    </w:p>
    <w:p w:rsidR="00134DD7" w:rsidRPr="00D901BC" w:rsidRDefault="00134DD7" w:rsidP="00D901BC">
      <w:pPr>
        <w:spacing w:after="0"/>
        <w:jc w:val="both"/>
        <w:rPr>
          <w:rFonts w:ascii="Arial" w:hAnsi="Arial" w:cs="Arial"/>
          <w:sz w:val="24"/>
          <w:szCs w:val="24"/>
        </w:rPr>
      </w:pPr>
    </w:p>
    <w:p w:rsidR="00F63DA6" w:rsidRPr="00D901BC" w:rsidRDefault="00B93979" w:rsidP="00D901BC">
      <w:pPr>
        <w:spacing w:after="0"/>
        <w:jc w:val="both"/>
        <w:rPr>
          <w:rFonts w:ascii="Arial" w:hAnsi="Arial" w:cs="Arial"/>
          <w:sz w:val="24"/>
          <w:szCs w:val="24"/>
        </w:rPr>
      </w:pPr>
      <w:r w:rsidRPr="00D901BC">
        <w:rPr>
          <w:rFonts w:ascii="Arial" w:hAnsi="Arial" w:cs="Arial"/>
          <w:sz w:val="24"/>
          <w:szCs w:val="24"/>
        </w:rPr>
        <w:lastRenderedPageBreak/>
        <w:t xml:space="preserve">The </w:t>
      </w:r>
      <w:r w:rsidR="00117B4E" w:rsidRPr="00D901BC">
        <w:rPr>
          <w:rFonts w:ascii="Arial" w:hAnsi="Arial" w:cs="Arial"/>
          <w:sz w:val="24"/>
          <w:szCs w:val="24"/>
        </w:rPr>
        <w:t xml:space="preserve">2012 and </w:t>
      </w:r>
      <w:r w:rsidRPr="00D901BC">
        <w:rPr>
          <w:rFonts w:ascii="Arial" w:hAnsi="Arial" w:cs="Arial"/>
          <w:sz w:val="24"/>
          <w:szCs w:val="24"/>
        </w:rPr>
        <w:t>2013 service contract with DHS had similar terms</w:t>
      </w:r>
      <w:r w:rsidR="00117B4E" w:rsidRPr="00D901BC">
        <w:rPr>
          <w:rFonts w:ascii="Arial" w:hAnsi="Arial" w:cs="Arial"/>
          <w:sz w:val="24"/>
          <w:szCs w:val="24"/>
        </w:rPr>
        <w:t xml:space="preserve"> to what is currently being proposed</w:t>
      </w:r>
      <w:r w:rsidRPr="00D901BC">
        <w:rPr>
          <w:rFonts w:ascii="Arial" w:hAnsi="Arial" w:cs="Arial"/>
          <w:sz w:val="24"/>
          <w:szCs w:val="24"/>
        </w:rPr>
        <w:t xml:space="preserve">. </w:t>
      </w:r>
      <w:r w:rsidR="00117B4E" w:rsidRPr="00D901BC">
        <w:rPr>
          <w:rFonts w:ascii="Arial" w:hAnsi="Arial" w:cs="Arial"/>
          <w:sz w:val="24"/>
          <w:szCs w:val="24"/>
        </w:rPr>
        <w:t>The primary difference between the previous service contracts is that for</w:t>
      </w:r>
      <w:r w:rsidRPr="00D901BC">
        <w:rPr>
          <w:rFonts w:ascii="Arial" w:hAnsi="Arial" w:cs="Arial"/>
          <w:sz w:val="24"/>
          <w:szCs w:val="24"/>
        </w:rPr>
        <w:t xml:space="preserve"> 2014 it is proposed that </w:t>
      </w:r>
      <w:r w:rsidR="00117B4E" w:rsidRPr="00D901BC">
        <w:rPr>
          <w:rFonts w:ascii="Arial" w:hAnsi="Arial" w:cs="Arial"/>
          <w:sz w:val="24"/>
          <w:szCs w:val="24"/>
        </w:rPr>
        <w:t>as of May 1, 2014 DHS’s agreement will be converted to a lease with a minor service contract, rather than solely a</w:t>
      </w:r>
      <w:r w:rsidRPr="00D901BC">
        <w:rPr>
          <w:rFonts w:ascii="Arial" w:hAnsi="Arial" w:cs="Arial"/>
          <w:sz w:val="24"/>
          <w:szCs w:val="24"/>
        </w:rPr>
        <w:t xml:space="preserve"> service contract.</w:t>
      </w:r>
      <w:r w:rsidR="00984859">
        <w:rPr>
          <w:rFonts w:ascii="Arial" w:hAnsi="Arial" w:cs="Arial"/>
          <w:sz w:val="24"/>
          <w:szCs w:val="24"/>
        </w:rPr>
        <w:t xml:space="preserve">  This change was necessary because DHS no longer relies on the County’s informational technology and the relationship is now more akin to a Landlord-Tenant relationship.</w:t>
      </w:r>
    </w:p>
    <w:p w:rsidR="00117B4E" w:rsidRPr="00D901BC" w:rsidRDefault="00117B4E" w:rsidP="00D901BC">
      <w:pPr>
        <w:spacing w:after="0"/>
        <w:jc w:val="both"/>
        <w:rPr>
          <w:rFonts w:ascii="Arial" w:hAnsi="Arial" w:cs="Arial"/>
          <w:sz w:val="24"/>
          <w:szCs w:val="24"/>
        </w:rPr>
      </w:pPr>
    </w:p>
    <w:p w:rsidR="00F63DA6" w:rsidRPr="00D901BC" w:rsidRDefault="00F63DA6" w:rsidP="00D901BC">
      <w:pPr>
        <w:spacing w:after="0"/>
        <w:jc w:val="both"/>
        <w:rPr>
          <w:rFonts w:ascii="Arial" w:hAnsi="Arial" w:cs="Arial"/>
          <w:b/>
          <w:sz w:val="24"/>
          <w:szCs w:val="24"/>
        </w:rPr>
      </w:pPr>
      <w:r w:rsidRPr="00D901BC">
        <w:rPr>
          <w:rFonts w:ascii="Arial" w:hAnsi="Arial" w:cs="Arial"/>
          <w:b/>
          <w:sz w:val="24"/>
          <w:szCs w:val="24"/>
        </w:rPr>
        <w:t>DCF Child Care Contract Changes</w:t>
      </w:r>
    </w:p>
    <w:p w:rsidR="00F63DA6" w:rsidRPr="00D901BC" w:rsidRDefault="0034076B" w:rsidP="00D901BC">
      <w:pPr>
        <w:spacing w:after="0"/>
        <w:jc w:val="both"/>
        <w:rPr>
          <w:rFonts w:ascii="Arial" w:hAnsi="Arial" w:cs="Arial"/>
          <w:sz w:val="24"/>
          <w:szCs w:val="24"/>
        </w:rPr>
      </w:pPr>
      <w:r w:rsidRPr="00D901BC">
        <w:rPr>
          <w:rFonts w:ascii="Arial" w:hAnsi="Arial" w:cs="Arial"/>
          <w:sz w:val="24"/>
          <w:szCs w:val="24"/>
        </w:rPr>
        <w:t>The amendment to DCF Child Care Contract relates to the contract period only.  The original contract term was January 1, 2013 through December 31, 2013.  The amendment requests month-to-month extensions through December 31, 2014.  All other terms and conditions of the original 2013 contract, including shared services charges relating to employee services, IT/Phone se</w:t>
      </w:r>
      <w:r w:rsidR="00B93979" w:rsidRPr="00D901BC">
        <w:rPr>
          <w:rFonts w:ascii="Arial" w:hAnsi="Arial" w:cs="Arial"/>
          <w:sz w:val="24"/>
          <w:szCs w:val="24"/>
        </w:rPr>
        <w:t>rvices and mail services</w:t>
      </w:r>
      <w:r w:rsidRPr="00D901BC">
        <w:rPr>
          <w:rFonts w:ascii="Arial" w:hAnsi="Arial" w:cs="Arial"/>
          <w:sz w:val="24"/>
          <w:szCs w:val="24"/>
        </w:rPr>
        <w:t xml:space="preserve"> shall remain in full force and effect.</w:t>
      </w:r>
    </w:p>
    <w:p w:rsidR="00F63DA6" w:rsidRPr="00D901BC" w:rsidRDefault="00F63DA6" w:rsidP="00D901BC">
      <w:pPr>
        <w:spacing w:after="0"/>
        <w:jc w:val="both"/>
        <w:rPr>
          <w:rFonts w:ascii="Arial" w:hAnsi="Arial" w:cs="Arial"/>
          <w:sz w:val="24"/>
          <w:szCs w:val="24"/>
        </w:rPr>
      </w:pPr>
    </w:p>
    <w:p w:rsidR="00B93979" w:rsidRPr="00D901BC" w:rsidRDefault="00B93979" w:rsidP="00D901BC">
      <w:pPr>
        <w:spacing w:after="0"/>
        <w:jc w:val="both"/>
        <w:rPr>
          <w:rFonts w:ascii="Arial" w:hAnsi="Arial" w:cs="Arial"/>
          <w:b/>
          <w:sz w:val="24"/>
          <w:szCs w:val="24"/>
        </w:rPr>
      </w:pPr>
      <w:r w:rsidRPr="00D901BC">
        <w:rPr>
          <w:rFonts w:ascii="Arial" w:hAnsi="Arial" w:cs="Arial"/>
          <w:b/>
          <w:sz w:val="24"/>
          <w:szCs w:val="24"/>
        </w:rPr>
        <w:t>State/County Lease Agreement</w:t>
      </w:r>
    </w:p>
    <w:p w:rsidR="00B93979" w:rsidRPr="00D901BC" w:rsidRDefault="00B93979" w:rsidP="00D901BC">
      <w:pPr>
        <w:spacing w:after="0"/>
        <w:jc w:val="both"/>
        <w:rPr>
          <w:rFonts w:ascii="Arial" w:hAnsi="Arial" w:cs="Arial"/>
          <w:sz w:val="24"/>
          <w:szCs w:val="24"/>
        </w:rPr>
      </w:pPr>
      <w:r w:rsidRPr="00D901BC">
        <w:rPr>
          <w:rFonts w:ascii="Arial" w:hAnsi="Arial" w:cs="Arial"/>
          <w:sz w:val="24"/>
          <w:szCs w:val="24"/>
        </w:rPr>
        <w:t xml:space="preserve">The DHS 2013 service contract reflected the State occupying </w:t>
      </w:r>
      <w:r w:rsidR="00984859">
        <w:rPr>
          <w:rFonts w:ascii="Arial" w:hAnsi="Arial" w:cs="Arial"/>
          <w:sz w:val="24"/>
          <w:szCs w:val="24"/>
        </w:rPr>
        <w:t xml:space="preserve">the first and second floor of </w:t>
      </w:r>
      <w:r w:rsidRPr="00D901BC">
        <w:rPr>
          <w:rFonts w:ascii="Arial" w:hAnsi="Arial" w:cs="Arial"/>
          <w:sz w:val="24"/>
          <w:szCs w:val="24"/>
        </w:rPr>
        <w:t>the Coggs Center for a term of one year (January 1 through December 31, 2013).  The proposed DHS lease reflects 110,114 square feet of space in the Coggs Center on a month-to-month term until either party acts to terminate the lease by thirty (30) days written notice to the other.</w:t>
      </w:r>
    </w:p>
    <w:p w:rsidR="00B93979" w:rsidRPr="00D901BC" w:rsidRDefault="00B93979" w:rsidP="00D901BC">
      <w:pPr>
        <w:spacing w:after="0"/>
        <w:jc w:val="both"/>
        <w:rPr>
          <w:rFonts w:ascii="Arial" w:hAnsi="Arial" w:cs="Arial"/>
          <w:sz w:val="24"/>
          <w:szCs w:val="24"/>
        </w:rPr>
      </w:pPr>
    </w:p>
    <w:p w:rsidR="00B93979" w:rsidRPr="00D901BC" w:rsidRDefault="00B93979" w:rsidP="00D901BC">
      <w:pPr>
        <w:spacing w:after="0"/>
        <w:jc w:val="both"/>
        <w:rPr>
          <w:rFonts w:ascii="Arial" w:hAnsi="Arial" w:cs="Arial"/>
          <w:sz w:val="24"/>
          <w:szCs w:val="24"/>
        </w:rPr>
      </w:pPr>
      <w:r w:rsidRPr="00D901BC">
        <w:rPr>
          <w:rFonts w:ascii="Arial" w:hAnsi="Arial" w:cs="Arial"/>
          <w:sz w:val="24"/>
          <w:szCs w:val="24"/>
        </w:rPr>
        <w:t xml:space="preserve">The lease with the State shall begin retroactively on May 1, 2014 and anticipates a monthly payment of $198,389.00 for building operations or $2,380,668.00 annually.  </w:t>
      </w:r>
      <w:r w:rsidR="00117B4E" w:rsidRPr="00D901BC">
        <w:rPr>
          <w:rFonts w:ascii="Arial" w:hAnsi="Arial" w:cs="Arial"/>
          <w:sz w:val="24"/>
          <w:szCs w:val="24"/>
        </w:rPr>
        <w:t>The 2014 terms compared to previous terms are as follows:</w:t>
      </w:r>
    </w:p>
    <w:p w:rsidR="00117B4E" w:rsidRPr="00D901BC" w:rsidRDefault="00117B4E" w:rsidP="00D901BC">
      <w:pPr>
        <w:spacing w:after="0"/>
        <w:jc w:val="both"/>
        <w:rPr>
          <w:rFonts w:ascii="Arial" w:hAnsi="Arial" w:cs="Arial"/>
          <w:sz w:val="24"/>
          <w:szCs w:val="24"/>
        </w:rPr>
      </w:pPr>
    </w:p>
    <w:tbl>
      <w:tblPr>
        <w:tblpPr w:leftFromText="180" w:rightFromText="180" w:vertAnchor="text" w:horzAnchor="margin" w:tblpXSpec="center" w:tblpY="110"/>
        <w:tblW w:w="11775" w:type="dxa"/>
        <w:tblLook w:val="04A0" w:firstRow="1" w:lastRow="0" w:firstColumn="1" w:lastColumn="0" w:noHBand="0" w:noVBand="1"/>
      </w:tblPr>
      <w:tblGrid>
        <w:gridCol w:w="1780"/>
        <w:gridCol w:w="1400"/>
        <w:gridCol w:w="1385"/>
        <w:gridCol w:w="1480"/>
        <w:gridCol w:w="1385"/>
        <w:gridCol w:w="1420"/>
        <w:gridCol w:w="1385"/>
        <w:gridCol w:w="1540"/>
      </w:tblGrid>
      <w:tr w:rsidR="00984859" w:rsidRPr="000812AD" w:rsidTr="00117B4E">
        <w:trPr>
          <w:trHeight w:val="600"/>
        </w:trPr>
        <w:tc>
          <w:tcPr>
            <w:tcW w:w="1780" w:type="dxa"/>
            <w:tcBorders>
              <w:top w:val="nil"/>
              <w:left w:val="nil"/>
              <w:bottom w:val="nil"/>
              <w:right w:val="nil"/>
            </w:tcBorders>
            <w:shd w:val="clear" w:color="auto" w:fill="auto"/>
            <w:noWrap/>
            <w:vAlign w:val="bottom"/>
            <w:hideMark/>
          </w:tcPr>
          <w:p w:rsidR="00984859" w:rsidRDefault="00984859" w:rsidP="00984859"/>
        </w:tc>
        <w:tc>
          <w:tcPr>
            <w:tcW w:w="1400" w:type="dxa"/>
            <w:tcBorders>
              <w:top w:val="nil"/>
              <w:left w:val="nil"/>
              <w:bottom w:val="single" w:sz="4" w:space="0" w:color="auto"/>
              <w:right w:val="nil"/>
            </w:tcBorders>
            <w:shd w:val="clear" w:color="000000" w:fill="BFBFBF"/>
            <w:noWrap/>
            <w:vAlign w:val="bottom"/>
            <w:hideMark/>
          </w:tcPr>
          <w:p w:rsidR="00984859" w:rsidRDefault="00984859" w:rsidP="00984859">
            <w:pPr>
              <w:rPr>
                <w:rFonts w:ascii="Calibri" w:hAnsi="Calibri"/>
                <w:color w:val="000000"/>
              </w:rPr>
            </w:pPr>
            <w:r>
              <w:rPr>
                <w:rFonts w:ascii="Calibri" w:hAnsi="Calibri"/>
                <w:color w:val="000000"/>
              </w:rPr>
              <w:t>2013 Est.</w:t>
            </w:r>
          </w:p>
        </w:tc>
        <w:tc>
          <w:tcPr>
            <w:tcW w:w="1385" w:type="dxa"/>
            <w:tcBorders>
              <w:top w:val="nil"/>
              <w:left w:val="nil"/>
              <w:bottom w:val="single" w:sz="4" w:space="0" w:color="auto"/>
              <w:right w:val="nil"/>
            </w:tcBorders>
            <w:shd w:val="clear" w:color="000000" w:fill="D9D9D9"/>
            <w:noWrap/>
            <w:vAlign w:val="bottom"/>
            <w:hideMark/>
          </w:tcPr>
          <w:p w:rsidR="00984859" w:rsidRDefault="00984859" w:rsidP="00984859">
            <w:pPr>
              <w:rPr>
                <w:rFonts w:ascii="Calibri" w:hAnsi="Calibri"/>
                <w:color w:val="000000"/>
              </w:rPr>
            </w:pPr>
            <w:r>
              <w:rPr>
                <w:rFonts w:ascii="Calibri" w:hAnsi="Calibri"/>
                <w:color w:val="000000"/>
              </w:rPr>
              <w:t>Jan-Apr 2014</w:t>
            </w:r>
          </w:p>
        </w:tc>
        <w:tc>
          <w:tcPr>
            <w:tcW w:w="1480" w:type="dxa"/>
            <w:tcBorders>
              <w:top w:val="nil"/>
              <w:left w:val="nil"/>
              <w:bottom w:val="single" w:sz="4" w:space="0" w:color="auto"/>
              <w:right w:val="nil"/>
            </w:tcBorders>
            <w:shd w:val="clear" w:color="000000" w:fill="D9D9D9"/>
            <w:noWrap/>
            <w:vAlign w:val="bottom"/>
            <w:hideMark/>
          </w:tcPr>
          <w:p w:rsidR="00984859" w:rsidRDefault="00984859" w:rsidP="00984859">
            <w:pPr>
              <w:rPr>
                <w:rFonts w:ascii="Calibri" w:hAnsi="Calibri"/>
                <w:color w:val="000000"/>
              </w:rPr>
            </w:pPr>
            <w:r>
              <w:rPr>
                <w:rFonts w:ascii="Calibri" w:hAnsi="Calibri"/>
                <w:color w:val="000000"/>
              </w:rPr>
              <w:t>May-June 2014</w:t>
            </w:r>
          </w:p>
        </w:tc>
        <w:tc>
          <w:tcPr>
            <w:tcW w:w="1385" w:type="dxa"/>
            <w:tcBorders>
              <w:top w:val="nil"/>
              <w:left w:val="nil"/>
              <w:bottom w:val="single" w:sz="4" w:space="0" w:color="auto"/>
              <w:right w:val="nil"/>
            </w:tcBorders>
            <w:shd w:val="clear" w:color="000000" w:fill="D9D9D9"/>
            <w:vAlign w:val="bottom"/>
            <w:hideMark/>
          </w:tcPr>
          <w:p w:rsidR="00984859" w:rsidRDefault="00984859" w:rsidP="00984859">
            <w:pPr>
              <w:jc w:val="center"/>
              <w:rPr>
                <w:rFonts w:ascii="Calibri" w:hAnsi="Calibri"/>
                <w:color w:val="000000"/>
              </w:rPr>
            </w:pPr>
            <w:r>
              <w:rPr>
                <w:rFonts w:ascii="Calibri" w:hAnsi="Calibri"/>
                <w:color w:val="000000"/>
              </w:rPr>
              <w:t>Total Jan-June 2014</w:t>
            </w:r>
          </w:p>
        </w:tc>
        <w:tc>
          <w:tcPr>
            <w:tcW w:w="1420" w:type="dxa"/>
            <w:tcBorders>
              <w:top w:val="nil"/>
              <w:left w:val="nil"/>
              <w:bottom w:val="single" w:sz="4" w:space="0" w:color="auto"/>
              <w:right w:val="nil"/>
            </w:tcBorders>
            <w:shd w:val="clear" w:color="000000" w:fill="D9D9D9"/>
            <w:noWrap/>
            <w:vAlign w:val="bottom"/>
            <w:hideMark/>
          </w:tcPr>
          <w:p w:rsidR="00984859" w:rsidRDefault="00984859" w:rsidP="00984859">
            <w:pPr>
              <w:rPr>
                <w:rFonts w:ascii="Calibri" w:hAnsi="Calibri"/>
                <w:color w:val="000000"/>
              </w:rPr>
            </w:pPr>
            <w:r>
              <w:rPr>
                <w:rFonts w:ascii="Calibri" w:hAnsi="Calibri"/>
                <w:color w:val="000000"/>
              </w:rPr>
              <w:t>July-Dec 2014</w:t>
            </w:r>
          </w:p>
        </w:tc>
        <w:tc>
          <w:tcPr>
            <w:tcW w:w="1385" w:type="dxa"/>
            <w:tcBorders>
              <w:top w:val="nil"/>
              <w:left w:val="nil"/>
              <w:bottom w:val="single" w:sz="4" w:space="0" w:color="auto"/>
              <w:right w:val="nil"/>
            </w:tcBorders>
            <w:shd w:val="clear" w:color="000000" w:fill="BFBFBF"/>
            <w:noWrap/>
            <w:vAlign w:val="bottom"/>
            <w:hideMark/>
          </w:tcPr>
          <w:p w:rsidR="00984859" w:rsidRDefault="00984859" w:rsidP="00984859">
            <w:pPr>
              <w:rPr>
                <w:rFonts w:ascii="Calibri" w:hAnsi="Calibri"/>
                <w:color w:val="000000"/>
              </w:rPr>
            </w:pPr>
            <w:r>
              <w:rPr>
                <w:rFonts w:ascii="Calibri" w:hAnsi="Calibri"/>
                <w:color w:val="000000"/>
              </w:rPr>
              <w:t>2014 Est</w:t>
            </w:r>
          </w:p>
        </w:tc>
        <w:tc>
          <w:tcPr>
            <w:tcW w:w="1540" w:type="dxa"/>
            <w:tcBorders>
              <w:top w:val="nil"/>
              <w:left w:val="nil"/>
              <w:bottom w:val="single" w:sz="4" w:space="0" w:color="auto"/>
              <w:right w:val="nil"/>
            </w:tcBorders>
            <w:shd w:val="clear" w:color="000000" w:fill="D9D9D9"/>
            <w:vAlign w:val="bottom"/>
            <w:hideMark/>
          </w:tcPr>
          <w:p w:rsidR="00984859" w:rsidRDefault="00984859" w:rsidP="00984859">
            <w:pPr>
              <w:rPr>
                <w:rFonts w:ascii="Calibri" w:hAnsi="Calibri"/>
                <w:color w:val="000000"/>
              </w:rPr>
            </w:pPr>
            <w:r>
              <w:rPr>
                <w:rFonts w:ascii="Calibri" w:hAnsi="Calibri"/>
                <w:color w:val="000000"/>
              </w:rPr>
              <w:t>Difference 2013 - 2014</w:t>
            </w:r>
          </w:p>
        </w:tc>
      </w:tr>
      <w:tr w:rsidR="00984859" w:rsidRPr="000812AD" w:rsidTr="00117B4E">
        <w:trPr>
          <w:trHeight w:val="289"/>
        </w:trPr>
        <w:tc>
          <w:tcPr>
            <w:tcW w:w="1780" w:type="dxa"/>
            <w:tcBorders>
              <w:top w:val="nil"/>
              <w:left w:val="nil"/>
              <w:bottom w:val="nil"/>
              <w:right w:val="nil"/>
            </w:tcBorders>
            <w:shd w:val="clear" w:color="auto" w:fill="auto"/>
            <w:noWrap/>
            <w:vAlign w:val="bottom"/>
            <w:hideMark/>
          </w:tcPr>
          <w:p w:rsidR="00984859" w:rsidRDefault="00984859" w:rsidP="00984859">
            <w:pPr>
              <w:rPr>
                <w:rFonts w:ascii="Calibri" w:hAnsi="Calibri"/>
                <w:color w:val="000000"/>
              </w:rPr>
            </w:pPr>
            <w:r>
              <w:rPr>
                <w:rFonts w:ascii="Calibri" w:hAnsi="Calibri"/>
                <w:color w:val="000000"/>
              </w:rPr>
              <w:t>Pension Est</w:t>
            </w:r>
          </w:p>
        </w:tc>
        <w:tc>
          <w:tcPr>
            <w:tcW w:w="1400"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76,000.00</w:t>
            </w:r>
          </w:p>
        </w:tc>
        <w:tc>
          <w:tcPr>
            <w:tcW w:w="1385" w:type="dxa"/>
            <w:tcBorders>
              <w:top w:val="nil"/>
              <w:left w:val="nil"/>
              <w:bottom w:val="nil"/>
              <w:right w:val="nil"/>
            </w:tcBorders>
            <w:shd w:val="clear" w:color="000000" w:fill="DCE6F1"/>
            <w:noWrap/>
            <w:vAlign w:val="bottom"/>
            <w:hideMark/>
          </w:tcPr>
          <w:p w:rsidR="00984859" w:rsidRDefault="00984859" w:rsidP="00984859">
            <w:pPr>
              <w:jc w:val="right"/>
              <w:rPr>
                <w:rFonts w:ascii="Calibri" w:hAnsi="Calibri"/>
                <w:color w:val="000000"/>
              </w:rPr>
            </w:pPr>
            <w:r>
              <w:rPr>
                <w:rFonts w:ascii="Calibri" w:hAnsi="Calibri"/>
                <w:color w:val="000000"/>
              </w:rPr>
              <w:t>40,000.00</w:t>
            </w:r>
          </w:p>
        </w:tc>
        <w:tc>
          <w:tcPr>
            <w:tcW w:w="1480" w:type="dxa"/>
            <w:tcBorders>
              <w:top w:val="nil"/>
              <w:left w:val="nil"/>
              <w:bottom w:val="nil"/>
              <w:right w:val="nil"/>
            </w:tcBorders>
            <w:shd w:val="clear" w:color="000000" w:fill="EBF1DE"/>
            <w:noWrap/>
            <w:vAlign w:val="bottom"/>
            <w:hideMark/>
          </w:tcPr>
          <w:p w:rsidR="00984859" w:rsidRDefault="00984859" w:rsidP="00984859">
            <w:pPr>
              <w:jc w:val="right"/>
              <w:rPr>
                <w:rFonts w:ascii="Calibri" w:hAnsi="Calibri"/>
                <w:color w:val="000000"/>
              </w:rPr>
            </w:pPr>
            <w:r>
              <w:rPr>
                <w:rFonts w:ascii="Calibri" w:hAnsi="Calibri"/>
                <w:color w:val="000000"/>
              </w:rPr>
              <w:t>20,000.00</w:t>
            </w:r>
          </w:p>
        </w:tc>
        <w:tc>
          <w:tcPr>
            <w:tcW w:w="1385"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60,000.00</w:t>
            </w:r>
          </w:p>
        </w:tc>
        <w:tc>
          <w:tcPr>
            <w:tcW w:w="1420"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47,500.00</w:t>
            </w:r>
          </w:p>
        </w:tc>
        <w:tc>
          <w:tcPr>
            <w:tcW w:w="1385"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107,500.00</w:t>
            </w:r>
          </w:p>
        </w:tc>
        <w:tc>
          <w:tcPr>
            <w:tcW w:w="1540" w:type="dxa"/>
            <w:tcBorders>
              <w:top w:val="nil"/>
              <w:left w:val="nil"/>
              <w:bottom w:val="nil"/>
              <w:right w:val="nil"/>
            </w:tcBorders>
            <w:shd w:val="clear" w:color="000000" w:fill="E4DFEC"/>
            <w:noWrap/>
            <w:vAlign w:val="bottom"/>
            <w:hideMark/>
          </w:tcPr>
          <w:p w:rsidR="00984859" w:rsidRDefault="00984859" w:rsidP="00984859">
            <w:pPr>
              <w:jc w:val="right"/>
              <w:rPr>
                <w:rFonts w:ascii="Calibri" w:hAnsi="Calibri"/>
                <w:color w:val="000000"/>
              </w:rPr>
            </w:pPr>
            <w:r>
              <w:rPr>
                <w:rFonts w:ascii="Calibri" w:hAnsi="Calibri"/>
                <w:color w:val="000000"/>
              </w:rPr>
              <w:t>$31,500.00</w:t>
            </w:r>
          </w:p>
        </w:tc>
      </w:tr>
      <w:tr w:rsidR="00984859" w:rsidRPr="000812AD" w:rsidTr="00117B4E">
        <w:trPr>
          <w:trHeight w:val="289"/>
        </w:trPr>
        <w:tc>
          <w:tcPr>
            <w:tcW w:w="1780" w:type="dxa"/>
            <w:tcBorders>
              <w:top w:val="nil"/>
              <w:left w:val="nil"/>
              <w:bottom w:val="nil"/>
              <w:right w:val="nil"/>
            </w:tcBorders>
            <w:shd w:val="clear" w:color="auto" w:fill="auto"/>
            <w:noWrap/>
            <w:vAlign w:val="bottom"/>
            <w:hideMark/>
          </w:tcPr>
          <w:p w:rsidR="00984859" w:rsidRDefault="00984859" w:rsidP="00984859">
            <w:pPr>
              <w:rPr>
                <w:rFonts w:ascii="Calibri" w:hAnsi="Calibri"/>
                <w:color w:val="000000"/>
              </w:rPr>
            </w:pPr>
            <w:r>
              <w:rPr>
                <w:rFonts w:ascii="Calibri" w:hAnsi="Calibri"/>
                <w:color w:val="000000"/>
              </w:rPr>
              <w:t xml:space="preserve">Benefits Mgmt </w:t>
            </w:r>
          </w:p>
        </w:tc>
        <w:tc>
          <w:tcPr>
            <w:tcW w:w="1400"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22,000.00</w:t>
            </w:r>
          </w:p>
        </w:tc>
        <w:tc>
          <w:tcPr>
            <w:tcW w:w="1385" w:type="dxa"/>
            <w:tcBorders>
              <w:top w:val="nil"/>
              <w:left w:val="nil"/>
              <w:bottom w:val="nil"/>
              <w:right w:val="nil"/>
            </w:tcBorders>
            <w:shd w:val="clear" w:color="000000" w:fill="DCE6F1"/>
            <w:noWrap/>
            <w:vAlign w:val="bottom"/>
            <w:hideMark/>
          </w:tcPr>
          <w:p w:rsidR="00984859" w:rsidRDefault="00984859" w:rsidP="00984859">
            <w:pPr>
              <w:jc w:val="right"/>
              <w:rPr>
                <w:rFonts w:ascii="Calibri" w:hAnsi="Calibri"/>
                <w:color w:val="000000"/>
              </w:rPr>
            </w:pPr>
            <w:r>
              <w:rPr>
                <w:rFonts w:ascii="Calibri" w:hAnsi="Calibri"/>
                <w:color w:val="000000"/>
              </w:rPr>
              <w:t>23,333.33</w:t>
            </w:r>
          </w:p>
        </w:tc>
        <w:tc>
          <w:tcPr>
            <w:tcW w:w="1480" w:type="dxa"/>
            <w:tcBorders>
              <w:top w:val="nil"/>
              <w:left w:val="nil"/>
              <w:bottom w:val="nil"/>
              <w:right w:val="nil"/>
            </w:tcBorders>
            <w:shd w:val="clear" w:color="000000" w:fill="EBF1DE"/>
            <w:noWrap/>
            <w:vAlign w:val="bottom"/>
            <w:hideMark/>
          </w:tcPr>
          <w:p w:rsidR="00984859" w:rsidRDefault="00984859" w:rsidP="00984859">
            <w:pPr>
              <w:jc w:val="right"/>
              <w:rPr>
                <w:rFonts w:ascii="Calibri" w:hAnsi="Calibri"/>
                <w:color w:val="000000"/>
              </w:rPr>
            </w:pPr>
            <w:r>
              <w:rPr>
                <w:rFonts w:ascii="Calibri" w:hAnsi="Calibri"/>
                <w:color w:val="000000"/>
              </w:rPr>
              <w:t>11,666.67</w:t>
            </w:r>
          </w:p>
        </w:tc>
        <w:tc>
          <w:tcPr>
            <w:tcW w:w="1385"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35,000.00</w:t>
            </w:r>
          </w:p>
        </w:tc>
        <w:tc>
          <w:tcPr>
            <w:tcW w:w="1420"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35,000.00</w:t>
            </w:r>
          </w:p>
        </w:tc>
        <w:tc>
          <w:tcPr>
            <w:tcW w:w="1385"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70,000.00</w:t>
            </w:r>
          </w:p>
        </w:tc>
        <w:tc>
          <w:tcPr>
            <w:tcW w:w="1540" w:type="dxa"/>
            <w:tcBorders>
              <w:top w:val="nil"/>
              <w:left w:val="nil"/>
              <w:bottom w:val="nil"/>
              <w:right w:val="nil"/>
            </w:tcBorders>
            <w:shd w:val="clear" w:color="000000" w:fill="E4DFEC"/>
            <w:noWrap/>
            <w:vAlign w:val="bottom"/>
            <w:hideMark/>
          </w:tcPr>
          <w:p w:rsidR="00984859" w:rsidRDefault="00984859" w:rsidP="00984859">
            <w:pPr>
              <w:jc w:val="right"/>
              <w:rPr>
                <w:rFonts w:ascii="Calibri" w:hAnsi="Calibri"/>
                <w:color w:val="000000"/>
              </w:rPr>
            </w:pPr>
            <w:r>
              <w:rPr>
                <w:rFonts w:ascii="Calibri" w:hAnsi="Calibri"/>
                <w:color w:val="000000"/>
              </w:rPr>
              <w:t>$48,000.00</w:t>
            </w:r>
          </w:p>
        </w:tc>
      </w:tr>
      <w:tr w:rsidR="00984859" w:rsidRPr="000812AD" w:rsidTr="00117B4E">
        <w:trPr>
          <w:trHeight w:val="289"/>
        </w:trPr>
        <w:tc>
          <w:tcPr>
            <w:tcW w:w="1780" w:type="dxa"/>
            <w:tcBorders>
              <w:top w:val="nil"/>
              <w:left w:val="nil"/>
              <w:bottom w:val="nil"/>
              <w:right w:val="nil"/>
            </w:tcBorders>
            <w:shd w:val="clear" w:color="auto" w:fill="auto"/>
            <w:noWrap/>
            <w:vAlign w:val="bottom"/>
            <w:hideMark/>
          </w:tcPr>
          <w:p w:rsidR="00984859" w:rsidRDefault="00984859" w:rsidP="00984859">
            <w:pPr>
              <w:rPr>
                <w:rFonts w:ascii="Calibri" w:hAnsi="Calibri"/>
                <w:color w:val="000000"/>
              </w:rPr>
            </w:pPr>
            <w:r>
              <w:rPr>
                <w:rFonts w:ascii="Calibri" w:hAnsi="Calibri"/>
                <w:color w:val="000000"/>
              </w:rPr>
              <w:t>Mail/Record</w:t>
            </w:r>
          </w:p>
        </w:tc>
        <w:tc>
          <w:tcPr>
            <w:tcW w:w="1400"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71,000.00</w:t>
            </w:r>
          </w:p>
        </w:tc>
        <w:tc>
          <w:tcPr>
            <w:tcW w:w="1385" w:type="dxa"/>
            <w:tcBorders>
              <w:top w:val="nil"/>
              <w:left w:val="nil"/>
              <w:bottom w:val="nil"/>
              <w:right w:val="nil"/>
            </w:tcBorders>
            <w:shd w:val="clear" w:color="000000" w:fill="DCE6F1"/>
            <w:noWrap/>
            <w:vAlign w:val="bottom"/>
            <w:hideMark/>
          </w:tcPr>
          <w:p w:rsidR="00984859" w:rsidRDefault="00984859" w:rsidP="00984859">
            <w:pPr>
              <w:jc w:val="right"/>
              <w:rPr>
                <w:rFonts w:ascii="Calibri" w:hAnsi="Calibri"/>
                <w:color w:val="000000"/>
              </w:rPr>
            </w:pPr>
            <w:r>
              <w:rPr>
                <w:rFonts w:ascii="Calibri" w:hAnsi="Calibri"/>
                <w:color w:val="000000"/>
              </w:rPr>
              <w:t>10,000.00</w:t>
            </w:r>
          </w:p>
        </w:tc>
        <w:tc>
          <w:tcPr>
            <w:tcW w:w="1480" w:type="dxa"/>
            <w:tcBorders>
              <w:top w:val="nil"/>
              <w:left w:val="nil"/>
              <w:bottom w:val="nil"/>
              <w:right w:val="nil"/>
            </w:tcBorders>
            <w:shd w:val="clear" w:color="000000" w:fill="EBF1DE"/>
            <w:noWrap/>
            <w:vAlign w:val="bottom"/>
            <w:hideMark/>
          </w:tcPr>
          <w:p w:rsidR="00984859" w:rsidRDefault="00984859" w:rsidP="00984859">
            <w:pPr>
              <w:jc w:val="right"/>
              <w:rPr>
                <w:rFonts w:ascii="Calibri" w:hAnsi="Calibri"/>
                <w:color w:val="000000"/>
              </w:rPr>
            </w:pPr>
            <w:r>
              <w:rPr>
                <w:rFonts w:ascii="Calibri" w:hAnsi="Calibri"/>
                <w:color w:val="000000"/>
              </w:rPr>
              <w:t>5,000.00</w:t>
            </w:r>
          </w:p>
        </w:tc>
        <w:tc>
          <w:tcPr>
            <w:tcW w:w="1385"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15,000.00</w:t>
            </w:r>
          </w:p>
        </w:tc>
        <w:tc>
          <w:tcPr>
            <w:tcW w:w="1420"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15,000.00</w:t>
            </w:r>
          </w:p>
        </w:tc>
        <w:tc>
          <w:tcPr>
            <w:tcW w:w="1385"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30,000.00</w:t>
            </w:r>
          </w:p>
        </w:tc>
        <w:tc>
          <w:tcPr>
            <w:tcW w:w="1540" w:type="dxa"/>
            <w:tcBorders>
              <w:top w:val="nil"/>
              <w:left w:val="nil"/>
              <w:bottom w:val="nil"/>
              <w:right w:val="nil"/>
            </w:tcBorders>
            <w:shd w:val="clear" w:color="000000" w:fill="E4DFEC"/>
            <w:noWrap/>
            <w:vAlign w:val="bottom"/>
            <w:hideMark/>
          </w:tcPr>
          <w:p w:rsidR="00984859" w:rsidRDefault="00984859" w:rsidP="00984859">
            <w:pPr>
              <w:jc w:val="right"/>
              <w:rPr>
                <w:rFonts w:ascii="Calibri" w:hAnsi="Calibri"/>
                <w:color w:val="000000"/>
              </w:rPr>
            </w:pPr>
            <w:r>
              <w:rPr>
                <w:rFonts w:ascii="Calibri" w:hAnsi="Calibri"/>
                <w:color w:val="000000"/>
              </w:rPr>
              <w:t>-$41,000.00</w:t>
            </w:r>
          </w:p>
        </w:tc>
      </w:tr>
      <w:tr w:rsidR="00984859" w:rsidRPr="000812AD" w:rsidTr="00117B4E">
        <w:trPr>
          <w:trHeight w:val="289"/>
        </w:trPr>
        <w:tc>
          <w:tcPr>
            <w:tcW w:w="1780" w:type="dxa"/>
            <w:tcBorders>
              <w:top w:val="nil"/>
              <w:left w:val="nil"/>
              <w:bottom w:val="nil"/>
              <w:right w:val="nil"/>
            </w:tcBorders>
            <w:shd w:val="clear" w:color="auto" w:fill="auto"/>
            <w:noWrap/>
            <w:vAlign w:val="bottom"/>
            <w:hideMark/>
          </w:tcPr>
          <w:p w:rsidR="00984859" w:rsidRDefault="00984859" w:rsidP="00984859">
            <w:pPr>
              <w:rPr>
                <w:rFonts w:ascii="Calibri" w:hAnsi="Calibri"/>
                <w:color w:val="000000"/>
              </w:rPr>
            </w:pPr>
            <w:r>
              <w:rPr>
                <w:rFonts w:ascii="Calibri" w:hAnsi="Calibri"/>
                <w:color w:val="000000"/>
              </w:rPr>
              <w:t>Long Distance</w:t>
            </w:r>
          </w:p>
        </w:tc>
        <w:tc>
          <w:tcPr>
            <w:tcW w:w="1400"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0.00</w:t>
            </w:r>
          </w:p>
        </w:tc>
        <w:tc>
          <w:tcPr>
            <w:tcW w:w="1385" w:type="dxa"/>
            <w:tcBorders>
              <w:top w:val="nil"/>
              <w:left w:val="nil"/>
              <w:bottom w:val="nil"/>
              <w:right w:val="nil"/>
            </w:tcBorders>
            <w:shd w:val="clear" w:color="000000" w:fill="DCE6F1"/>
            <w:noWrap/>
            <w:vAlign w:val="bottom"/>
            <w:hideMark/>
          </w:tcPr>
          <w:p w:rsidR="00984859" w:rsidRDefault="00984859" w:rsidP="00984859">
            <w:pPr>
              <w:jc w:val="right"/>
              <w:rPr>
                <w:rFonts w:ascii="Calibri" w:hAnsi="Calibri"/>
                <w:color w:val="000000"/>
              </w:rPr>
            </w:pPr>
            <w:r>
              <w:rPr>
                <w:rFonts w:ascii="Calibri" w:hAnsi="Calibri"/>
                <w:color w:val="000000"/>
              </w:rPr>
              <w:t>1,000.00</w:t>
            </w:r>
          </w:p>
        </w:tc>
        <w:tc>
          <w:tcPr>
            <w:tcW w:w="1480" w:type="dxa"/>
            <w:tcBorders>
              <w:top w:val="nil"/>
              <w:left w:val="nil"/>
              <w:bottom w:val="nil"/>
              <w:right w:val="nil"/>
            </w:tcBorders>
            <w:shd w:val="clear" w:color="000000" w:fill="EBF1DE"/>
            <w:noWrap/>
            <w:vAlign w:val="bottom"/>
            <w:hideMark/>
          </w:tcPr>
          <w:p w:rsidR="00984859" w:rsidRDefault="00984859" w:rsidP="00984859">
            <w:pPr>
              <w:jc w:val="right"/>
              <w:rPr>
                <w:rFonts w:ascii="Calibri" w:hAnsi="Calibri"/>
                <w:color w:val="000000"/>
              </w:rPr>
            </w:pPr>
            <w:r>
              <w:rPr>
                <w:rFonts w:ascii="Calibri" w:hAnsi="Calibri"/>
                <w:color w:val="000000"/>
              </w:rPr>
              <w:t>500.00</w:t>
            </w:r>
          </w:p>
        </w:tc>
        <w:tc>
          <w:tcPr>
            <w:tcW w:w="1385"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1,500.00</w:t>
            </w:r>
          </w:p>
        </w:tc>
        <w:tc>
          <w:tcPr>
            <w:tcW w:w="1420"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1,500.00</w:t>
            </w:r>
          </w:p>
        </w:tc>
        <w:tc>
          <w:tcPr>
            <w:tcW w:w="1385"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3,000.00</w:t>
            </w:r>
          </w:p>
        </w:tc>
        <w:tc>
          <w:tcPr>
            <w:tcW w:w="1540" w:type="dxa"/>
            <w:tcBorders>
              <w:top w:val="nil"/>
              <w:left w:val="nil"/>
              <w:bottom w:val="nil"/>
              <w:right w:val="nil"/>
            </w:tcBorders>
            <w:shd w:val="clear" w:color="000000" w:fill="E4DFEC"/>
            <w:noWrap/>
            <w:vAlign w:val="bottom"/>
            <w:hideMark/>
          </w:tcPr>
          <w:p w:rsidR="00984859" w:rsidRDefault="00984859" w:rsidP="00984859">
            <w:pPr>
              <w:jc w:val="right"/>
              <w:rPr>
                <w:rFonts w:ascii="Calibri" w:hAnsi="Calibri"/>
                <w:color w:val="000000"/>
              </w:rPr>
            </w:pPr>
            <w:r>
              <w:rPr>
                <w:rFonts w:ascii="Calibri" w:hAnsi="Calibri"/>
                <w:color w:val="000000"/>
              </w:rPr>
              <w:t>$3,000.00</w:t>
            </w:r>
          </w:p>
        </w:tc>
      </w:tr>
      <w:tr w:rsidR="00984859" w:rsidRPr="000812AD" w:rsidTr="00117B4E">
        <w:trPr>
          <w:trHeight w:val="289"/>
        </w:trPr>
        <w:tc>
          <w:tcPr>
            <w:tcW w:w="1780" w:type="dxa"/>
            <w:tcBorders>
              <w:top w:val="nil"/>
              <w:left w:val="nil"/>
              <w:bottom w:val="nil"/>
              <w:right w:val="nil"/>
            </w:tcBorders>
            <w:shd w:val="clear" w:color="auto" w:fill="auto"/>
            <w:noWrap/>
            <w:vAlign w:val="bottom"/>
            <w:hideMark/>
          </w:tcPr>
          <w:p w:rsidR="00984859" w:rsidRDefault="00984859" w:rsidP="00984859">
            <w:pPr>
              <w:rPr>
                <w:rFonts w:ascii="Calibri" w:hAnsi="Calibri"/>
                <w:color w:val="000000"/>
              </w:rPr>
            </w:pPr>
            <w:r>
              <w:rPr>
                <w:rFonts w:ascii="Calibri" w:hAnsi="Calibri"/>
                <w:color w:val="000000"/>
              </w:rPr>
              <w:t xml:space="preserve">IT Services </w:t>
            </w:r>
          </w:p>
        </w:tc>
        <w:tc>
          <w:tcPr>
            <w:tcW w:w="1400"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1,021,368.00</w:t>
            </w:r>
          </w:p>
        </w:tc>
        <w:tc>
          <w:tcPr>
            <w:tcW w:w="1385" w:type="dxa"/>
            <w:tcBorders>
              <w:top w:val="nil"/>
              <w:left w:val="nil"/>
              <w:bottom w:val="nil"/>
              <w:right w:val="nil"/>
            </w:tcBorders>
            <w:shd w:val="clear" w:color="000000" w:fill="DCE6F1"/>
            <w:noWrap/>
            <w:vAlign w:val="bottom"/>
            <w:hideMark/>
          </w:tcPr>
          <w:p w:rsidR="00984859" w:rsidRDefault="00984859" w:rsidP="00984859">
            <w:pPr>
              <w:jc w:val="right"/>
              <w:rPr>
                <w:rFonts w:ascii="Calibri" w:hAnsi="Calibri"/>
                <w:color w:val="000000"/>
              </w:rPr>
            </w:pPr>
            <w:r>
              <w:rPr>
                <w:rFonts w:ascii="Calibri" w:hAnsi="Calibri"/>
                <w:color w:val="000000"/>
              </w:rPr>
              <w:t>340,456.00</w:t>
            </w:r>
          </w:p>
        </w:tc>
        <w:tc>
          <w:tcPr>
            <w:tcW w:w="1480" w:type="dxa"/>
            <w:tcBorders>
              <w:top w:val="nil"/>
              <w:left w:val="nil"/>
              <w:bottom w:val="nil"/>
              <w:right w:val="nil"/>
            </w:tcBorders>
            <w:shd w:val="clear" w:color="000000" w:fill="EBF1DE"/>
            <w:noWrap/>
            <w:vAlign w:val="bottom"/>
            <w:hideMark/>
          </w:tcPr>
          <w:p w:rsidR="00984859" w:rsidRDefault="00984859" w:rsidP="00984859">
            <w:pPr>
              <w:jc w:val="right"/>
              <w:rPr>
                <w:rFonts w:ascii="Calibri" w:hAnsi="Calibri"/>
                <w:color w:val="000000"/>
              </w:rPr>
            </w:pPr>
            <w:r>
              <w:rPr>
                <w:rFonts w:ascii="Calibri" w:hAnsi="Calibri"/>
                <w:color w:val="000000"/>
              </w:rPr>
              <w:t>0.00</w:t>
            </w:r>
          </w:p>
        </w:tc>
        <w:tc>
          <w:tcPr>
            <w:tcW w:w="1385"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340,456.00</w:t>
            </w:r>
          </w:p>
        </w:tc>
        <w:tc>
          <w:tcPr>
            <w:tcW w:w="1420"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0.00</w:t>
            </w:r>
          </w:p>
        </w:tc>
        <w:tc>
          <w:tcPr>
            <w:tcW w:w="1385"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340,456.00</w:t>
            </w:r>
          </w:p>
        </w:tc>
        <w:tc>
          <w:tcPr>
            <w:tcW w:w="1540" w:type="dxa"/>
            <w:tcBorders>
              <w:top w:val="nil"/>
              <w:left w:val="nil"/>
              <w:bottom w:val="nil"/>
              <w:right w:val="nil"/>
            </w:tcBorders>
            <w:shd w:val="clear" w:color="000000" w:fill="E4DFEC"/>
            <w:noWrap/>
            <w:vAlign w:val="bottom"/>
            <w:hideMark/>
          </w:tcPr>
          <w:p w:rsidR="00984859" w:rsidRDefault="00984859" w:rsidP="00984859">
            <w:pPr>
              <w:jc w:val="right"/>
              <w:rPr>
                <w:rFonts w:ascii="Calibri" w:hAnsi="Calibri"/>
                <w:color w:val="000000"/>
              </w:rPr>
            </w:pPr>
            <w:r>
              <w:rPr>
                <w:rFonts w:ascii="Calibri" w:hAnsi="Calibri"/>
                <w:color w:val="000000"/>
              </w:rPr>
              <w:t>-$680,912.00</w:t>
            </w:r>
          </w:p>
        </w:tc>
      </w:tr>
      <w:tr w:rsidR="00984859" w:rsidRPr="000812AD" w:rsidTr="00117B4E">
        <w:trPr>
          <w:trHeight w:val="300"/>
        </w:trPr>
        <w:tc>
          <w:tcPr>
            <w:tcW w:w="1780" w:type="dxa"/>
            <w:tcBorders>
              <w:top w:val="nil"/>
              <w:left w:val="nil"/>
              <w:bottom w:val="nil"/>
              <w:right w:val="nil"/>
            </w:tcBorders>
            <w:shd w:val="clear" w:color="auto" w:fill="auto"/>
            <w:noWrap/>
            <w:vAlign w:val="bottom"/>
            <w:hideMark/>
          </w:tcPr>
          <w:p w:rsidR="00984859" w:rsidRDefault="00984859" w:rsidP="00984859">
            <w:pPr>
              <w:rPr>
                <w:rFonts w:ascii="Calibri" w:hAnsi="Calibri"/>
                <w:color w:val="000000"/>
              </w:rPr>
            </w:pPr>
            <w:r>
              <w:rPr>
                <w:rFonts w:ascii="Calibri" w:hAnsi="Calibri"/>
                <w:color w:val="000000"/>
              </w:rPr>
              <w:t>Rent</w:t>
            </w:r>
          </w:p>
        </w:tc>
        <w:tc>
          <w:tcPr>
            <w:tcW w:w="1400"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1,690,825.00</w:t>
            </w:r>
          </w:p>
        </w:tc>
        <w:tc>
          <w:tcPr>
            <w:tcW w:w="1385" w:type="dxa"/>
            <w:tcBorders>
              <w:top w:val="nil"/>
              <w:left w:val="nil"/>
              <w:bottom w:val="nil"/>
              <w:right w:val="nil"/>
            </w:tcBorders>
            <w:shd w:val="clear" w:color="000000" w:fill="DCE6F1"/>
            <w:noWrap/>
            <w:vAlign w:val="bottom"/>
            <w:hideMark/>
          </w:tcPr>
          <w:p w:rsidR="00984859" w:rsidRDefault="00984859" w:rsidP="00984859">
            <w:pPr>
              <w:jc w:val="right"/>
              <w:rPr>
                <w:rFonts w:ascii="Calibri" w:hAnsi="Calibri"/>
                <w:color w:val="000000"/>
              </w:rPr>
            </w:pPr>
            <w:r>
              <w:rPr>
                <w:rFonts w:ascii="Calibri" w:hAnsi="Calibri"/>
                <w:color w:val="000000"/>
              </w:rPr>
              <w:t>793,556.00</w:t>
            </w:r>
          </w:p>
        </w:tc>
        <w:tc>
          <w:tcPr>
            <w:tcW w:w="1480" w:type="dxa"/>
            <w:tcBorders>
              <w:top w:val="nil"/>
              <w:left w:val="nil"/>
              <w:bottom w:val="nil"/>
              <w:right w:val="nil"/>
            </w:tcBorders>
            <w:shd w:val="clear" w:color="000000" w:fill="EBF1DE"/>
            <w:noWrap/>
            <w:vAlign w:val="bottom"/>
            <w:hideMark/>
          </w:tcPr>
          <w:p w:rsidR="00984859" w:rsidRDefault="00984859" w:rsidP="00984859">
            <w:pPr>
              <w:jc w:val="right"/>
              <w:rPr>
                <w:rFonts w:ascii="Calibri" w:hAnsi="Calibri"/>
                <w:color w:val="000000"/>
              </w:rPr>
            </w:pPr>
            <w:r>
              <w:rPr>
                <w:rFonts w:ascii="Calibri" w:hAnsi="Calibri"/>
                <w:color w:val="000000"/>
              </w:rPr>
              <w:t>396,778.00</w:t>
            </w:r>
          </w:p>
        </w:tc>
        <w:tc>
          <w:tcPr>
            <w:tcW w:w="1385"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1,190,334.00</w:t>
            </w:r>
          </w:p>
        </w:tc>
        <w:tc>
          <w:tcPr>
            <w:tcW w:w="1420"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1,190,334.00</w:t>
            </w:r>
          </w:p>
        </w:tc>
        <w:tc>
          <w:tcPr>
            <w:tcW w:w="1385"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2,380,668.00</w:t>
            </w:r>
          </w:p>
        </w:tc>
        <w:tc>
          <w:tcPr>
            <w:tcW w:w="1540" w:type="dxa"/>
            <w:tcBorders>
              <w:top w:val="nil"/>
              <w:left w:val="nil"/>
              <w:bottom w:val="nil"/>
              <w:right w:val="nil"/>
            </w:tcBorders>
            <w:shd w:val="clear" w:color="000000" w:fill="E4DFEC"/>
            <w:noWrap/>
            <w:vAlign w:val="bottom"/>
            <w:hideMark/>
          </w:tcPr>
          <w:p w:rsidR="00984859" w:rsidRDefault="00984859" w:rsidP="00984859">
            <w:pPr>
              <w:jc w:val="right"/>
              <w:rPr>
                <w:rFonts w:ascii="Calibri" w:hAnsi="Calibri"/>
                <w:color w:val="000000"/>
              </w:rPr>
            </w:pPr>
            <w:r>
              <w:rPr>
                <w:rFonts w:ascii="Calibri" w:hAnsi="Calibri"/>
                <w:color w:val="000000"/>
              </w:rPr>
              <w:t>$689,843.00</w:t>
            </w:r>
          </w:p>
        </w:tc>
      </w:tr>
      <w:tr w:rsidR="00984859" w:rsidRPr="000812AD" w:rsidTr="00117B4E">
        <w:trPr>
          <w:trHeight w:val="315"/>
        </w:trPr>
        <w:tc>
          <w:tcPr>
            <w:tcW w:w="1780" w:type="dxa"/>
            <w:tcBorders>
              <w:top w:val="nil"/>
              <w:left w:val="nil"/>
              <w:bottom w:val="nil"/>
              <w:right w:val="nil"/>
            </w:tcBorders>
            <w:shd w:val="clear" w:color="auto" w:fill="auto"/>
            <w:noWrap/>
            <w:vAlign w:val="bottom"/>
            <w:hideMark/>
          </w:tcPr>
          <w:p w:rsidR="00984859" w:rsidRDefault="00984859" w:rsidP="00984859">
            <w:pPr>
              <w:rPr>
                <w:rFonts w:ascii="Calibri" w:hAnsi="Calibri"/>
                <w:color w:val="000000"/>
              </w:rPr>
            </w:pPr>
            <w:r>
              <w:rPr>
                <w:rFonts w:ascii="Calibri" w:hAnsi="Calibri"/>
                <w:color w:val="000000"/>
              </w:rPr>
              <w:t>QMATIC</w:t>
            </w:r>
          </w:p>
        </w:tc>
        <w:tc>
          <w:tcPr>
            <w:tcW w:w="1400" w:type="dxa"/>
            <w:tcBorders>
              <w:top w:val="nil"/>
              <w:left w:val="nil"/>
              <w:bottom w:val="double" w:sz="6" w:space="0" w:color="auto"/>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11,086.00</w:t>
            </w:r>
          </w:p>
        </w:tc>
        <w:tc>
          <w:tcPr>
            <w:tcW w:w="1385" w:type="dxa"/>
            <w:tcBorders>
              <w:top w:val="nil"/>
              <w:left w:val="nil"/>
              <w:bottom w:val="double" w:sz="6" w:space="0" w:color="auto"/>
              <w:right w:val="nil"/>
            </w:tcBorders>
            <w:shd w:val="clear" w:color="000000" w:fill="DCE6F1"/>
            <w:noWrap/>
            <w:vAlign w:val="bottom"/>
            <w:hideMark/>
          </w:tcPr>
          <w:p w:rsidR="00984859" w:rsidRDefault="00984859" w:rsidP="00984859">
            <w:pPr>
              <w:jc w:val="right"/>
              <w:rPr>
                <w:rFonts w:ascii="Calibri" w:hAnsi="Calibri"/>
                <w:color w:val="000000"/>
              </w:rPr>
            </w:pPr>
            <w:r>
              <w:rPr>
                <w:rFonts w:ascii="Calibri" w:hAnsi="Calibri"/>
                <w:color w:val="000000"/>
              </w:rPr>
              <w:t>0.00</w:t>
            </w:r>
          </w:p>
        </w:tc>
        <w:tc>
          <w:tcPr>
            <w:tcW w:w="1480" w:type="dxa"/>
            <w:tcBorders>
              <w:top w:val="nil"/>
              <w:left w:val="nil"/>
              <w:bottom w:val="double" w:sz="6" w:space="0" w:color="auto"/>
              <w:right w:val="nil"/>
            </w:tcBorders>
            <w:shd w:val="clear" w:color="000000" w:fill="EBF1DE"/>
            <w:noWrap/>
            <w:vAlign w:val="bottom"/>
            <w:hideMark/>
          </w:tcPr>
          <w:p w:rsidR="00984859" w:rsidRDefault="00984859" w:rsidP="00984859">
            <w:pPr>
              <w:jc w:val="right"/>
              <w:rPr>
                <w:rFonts w:ascii="Calibri" w:hAnsi="Calibri"/>
                <w:color w:val="000000"/>
              </w:rPr>
            </w:pPr>
            <w:r>
              <w:rPr>
                <w:rFonts w:ascii="Calibri" w:hAnsi="Calibri"/>
                <w:color w:val="000000"/>
              </w:rPr>
              <w:t>0.00</w:t>
            </w:r>
          </w:p>
        </w:tc>
        <w:tc>
          <w:tcPr>
            <w:tcW w:w="1385" w:type="dxa"/>
            <w:tcBorders>
              <w:top w:val="nil"/>
              <w:left w:val="nil"/>
              <w:bottom w:val="double" w:sz="6" w:space="0" w:color="auto"/>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0.00</w:t>
            </w:r>
          </w:p>
        </w:tc>
        <w:tc>
          <w:tcPr>
            <w:tcW w:w="1420" w:type="dxa"/>
            <w:tcBorders>
              <w:top w:val="nil"/>
              <w:left w:val="nil"/>
              <w:bottom w:val="double" w:sz="6" w:space="0" w:color="auto"/>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0.00</w:t>
            </w:r>
          </w:p>
        </w:tc>
        <w:tc>
          <w:tcPr>
            <w:tcW w:w="1385" w:type="dxa"/>
            <w:tcBorders>
              <w:top w:val="nil"/>
              <w:left w:val="nil"/>
              <w:bottom w:val="double" w:sz="6" w:space="0" w:color="auto"/>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0.00</w:t>
            </w:r>
          </w:p>
        </w:tc>
        <w:tc>
          <w:tcPr>
            <w:tcW w:w="1540" w:type="dxa"/>
            <w:tcBorders>
              <w:top w:val="nil"/>
              <w:left w:val="nil"/>
              <w:bottom w:val="double" w:sz="6" w:space="0" w:color="auto"/>
              <w:right w:val="nil"/>
            </w:tcBorders>
            <w:shd w:val="clear" w:color="000000" w:fill="E4DFEC"/>
            <w:noWrap/>
            <w:vAlign w:val="bottom"/>
            <w:hideMark/>
          </w:tcPr>
          <w:p w:rsidR="00984859" w:rsidRDefault="00984859" w:rsidP="00984859">
            <w:pPr>
              <w:jc w:val="right"/>
              <w:rPr>
                <w:rFonts w:ascii="Calibri" w:hAnsi="Calibri"/>
                <w:color w:val="000000"/>
              </w:rPr>
            </w:pPr>
            <w:r>
              <w:rPr>
                <w:rFonts w:ascii="Calibri" w:hAnsi="Calibri"/>
                <w:color w:val="000000"/>
              </w:rPr>
              <w:t>-$11,086.00</w:t>
            </w:r>
          </w:p>
        </w:tc>
      </w:tr>
      <w:tr w:rsidR="00984859" w:rsidRPr="000812AD" w:rsidTr="00117B4E">
        <w:trPr>
          <w:trHeight w:val="315"/>
        </w:trPr>
        <w:tc>
          <w:tcPr>
            <w:tcW w:w="1780" w:type="dxa"/>
            <w:tcBorders>
              <w:top w:val="nil"/>
              <w:left w:val="nil"/>
              <w:bottom w:val="nil"/>
              <w:right w:val="nil"/>
            </w:tcBorders>
            <w:shd w:val="clear" w:color="auto" w:fill="auto"/>
            <w:noWrap/>
            <w:vAlign w:val="bottom"/>
            <w:hideMark/>
          </w:tcPr>
          <w:p w:rsidR="00984859" w:rsidRDefault="00984859" w:rsidP="00984859">
            <w:pPr>
              <w:rPr>
                <w:rFonts w:ascii="Calibri" w:hAnsi="Calibri"/>
                <w:color w:val="000000"/>
              </w:rPr>
            </w:pPr>
            <w:r>
              <w:rPr>
                <w:rFonts w:ascii="Calibri" w:hAnsi="Calibri"/>
                <w:color w:val="000000"/>
              </w:rPr>
              <w:t>Total Estimates</w:t>
            </w:r>
          </w:p>
        </w:tc>
        <w:tc>
          <w:tcPr>
            <w:tcW w:w="1400"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2,892,279.00</w:t>
            </w:r>
          </w:p>
        </w:tc>
        <w:tc>
          <w:tcPr>
            <w:tcW w:w="1385" w:type="dxa"/>
            <w:tcBorders>
              <w:top w:val="nil"/>
              <w:left w:val="nil"/>
              <w:bottom w:val="nil"/>
              <w:right w:val="nil"/>
            </w:tcBorders>
            <w:shd w:val="clear" w:color="000000" w:fill="DCE6F1"/>
            <w:noWrap/>
            <w:vAlign w:val="bottom"/>
            <w:hideMark/>
          </w:tcPr>
          <w:p w:rsidR="00984859" w:rsidRDefault="00984859" w:rsidP="00984859">
            <w:pPr>
              <w:jc w:val="right"/>
              <w:rPr>
                <w:rFonts w:ascii="Calibri" w:hAnsi="Calibri"/>
                <w:color w:val="000000"/>
              </w:rPr>
            </w:pPr>
            <w:r>
              <w:rPr>
                <w:rFonts w:ascii="Calibri" w:hAnsi="Calibri"/>
                <w:color w:val="000000"/>
              </w:rPr>
              <w:t>1,208,345.33</w:t>
            </w:r>
          </w:p>
        </w:tc>
        <w:tc>
          <w:tcPr>
            <w:tcW w:w="1480" w:type="dxa"/>
            <w:tcBorders>
              <w:top w:val="nil"/>
              <w:left w:val="nil"/>
              <w:bottom w:val="nil"/>
              <w:right w:val="nil"/>
            </w:tcBorders>
            <w:shd w:val="clear" w:color="000000" w:fill="EBF1DE"/>
            <w:noWrap/>
            <w:vAlign w:val="bottom"/>
            <w:hideMark/>
          </w:tcPr>
          <w:p w:rsidR="00984859" w:rsidRDefault="00984859" w:rsidP="00984859">
            <w:pPr>
              <w:jc w:val="right"/>
              <w:rPr>
                <w:rFonts w:ascii="Calibri" w:hAnsi="Calibri"/>
                <w:color w:val="000000"/>
              </w:rPr>
            </w:pPr>
            <w:r>
              <w:rPr>
                <w:rFonts w:ascii="Calibri" w:hAnsi="Calibri"/>
                <w:color w:val="000000"/>
              </w:rPr>
              <w:t>433,944.67</w:t>
            </w:r>
          </w:p>
        </w:tc>
        <w:tc>
          <w:tcPr>
            <w:tcW w:w="1385"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1,642,290.00</w:t>
            </w:r>
          </w:p>
        </w:tc>
        <w:tc>
          <w:tcPr>
            <w:tcW w:w="1420" w:type="dxa"/>
            <w:tcBorders>
              <w:top w:val="nil"/>
              <w:left w:val="nil"/>
              <w:bottom w:val="nil"/>
              <w:right w:val="nil"/>
            </w:tcBorders>
            <w:shd w:val="clear" w:color="auto" w:fill="auto"/>
            <w:noWrap/>
            <w:vAlign w:val="bottom"/>
            <w:hideMark/>
          </w:tcPr>
          <w:p w:rsidR="00984859" w:rsidRDefault="00984859" w:rsidP="00984859">
            <w:pPr>
              <w:jc w:val="right"/>
              <w:rPr>
                <w:rFonts w:ascii="Calibri" w:hAnsi="Calibri"/>
                <w:color w:val="000000"/>
              </w:rPr>
            </w:pPr>
            <w:r>
              <w:rPr>
                <w:rFonts w:ascii="Calibri" w:hAnsi="Calibri"/>
                <w:color w:val="000000"/>
              </w:rPr>
              <w:t>1,289,334.00</w:t>
            </w:r>
          </w:p>
        </w:tc>
        <w:tc>
          <w:tcPr>
            <w:tcW w:w="1385" w:type="dxa"/>
            <w:tcBorders>
              <w:top w:val="nil"/>
              <w:left w:val="nil"/>
              <w:bottom w:val="nil"/>
              <w:right w:val="nil"/>
            </w:tcBorders>
            <w:shd w:val="clear" w:color="000000" w:fill="BFBFBF"/>
            <w:noWrap/>
            <w:vAlign w:val="bottom"/>
            <w:hideMark/>
          </w:tcPr>
          <w:p w:rsidR="00984859" w:rsidRDefault="00984859" w:rsidP="00984859">
            <w:pPr>
              <w:jc w:val="right"/>
              <w:rPr>
                <w:rFonts w:ascii="Calibri" w:hAnsi="Calibri"/>
                <w:color w:val="000000"/>
              </w:rPr>
            </w:pPr>
            <w:r>
              <w:rPr>
                <w:rFonts w:ascii="Calibri" w:hAnsi="Calibri"/>
                <w:color w:val="000000"/>
              </w:rPr>
              <w:t>2,931,624.00</w:t>
            </w:r>
          </w:p>
        </w:tc>
        <w:tc>
          <w:tcPr>
            <w:tcW w:w="1540" w:type="dxa"/>
            <w:tcBorders>
              <w:top w:val="nil"/>
              <w:left w:val="nil"/>
              <w:bottom w:val="nil"/>
              <w:right w:val="nil"/>
            </w:tcBorders>
            <w:shd w:val="clear" w:color="000000" w:fill="E4DFEC"/>
            <w:noWrap/>
            <w:vAlign w:val="bottom"/>
            <w:hideMark/>
          </w:tcPr>
          <w:p w:rsidR="00984859" w:rsidRDefault="00984859" w:rsidP="00984859">
            <w:pPr>
              <w:jc w:val="right"/>
              <w:rPr>
                <w:rFonts w:ascii="Calibri" w:hAnsi="Calibri"/>
                <w:color w:val="000000"/>
              </w:rPr>
            </w:pPr>
            <w:r>
              <w:rPr>
                <w:rFonts w:ascii="Calibri" w:hAnsi="Calibri"/>
                <w:color w:val="000000"/>
              </w:rPr>
              <w:t>$39,345.00</w:t>
            </w:r>
          </w:p>
        </w:tc>
      </w:tr>
    </w:tbl>
    <w:p w:rsidR="00117B4E" w:rsidRDefault="00117B4E" w:rsidP="00B93979">
      <w:pPr>
        <w:spacing w:after="0"/>
        <w:rPr>
          <w:sz w:val="24"/>
          <w:szCs w:val="24"/>
        </w:rPr>
      </w:pPr>
    </w:p>
    <w:p w:rsidR="00117B4E" w:rsidRDefault="00984859" w:rsidP="00984859">
      <w:pPr>
        <w:spacing w:after="0"/>
        <w:jc w:val="both"/>
        <w:rPr>
          <w:rFonts w:ascii="Arial" w:hAnsi="Arial" w:cs="Arial"/>
          <w:sz w:val="24"/>
          <w:szCs w:val="24"/>
        </w:rPr>
      </w:pPr>
      <w:r w:rsidRPr="00984859">
        <w:rPr>
          <w:rFonts w:ascii="Arial" w:hAnsi="Arial" w:cs="Arial"/>
          <w:sz w:val="24"/>
          <w:szCs w:val="24"/>
        </w:rPr>
        <w:lastRenderedPageBreak/>
        <w:t xml:space="preserve">As you can see, the County remains </w:t>
      </w:r>
      <w:r>
        <w:rPr>
          <w:rFonts w:ascii="Arial" w:hAnsi="Arial" w:cs="Arial"/>
          <w:sz w:val="24"/>
          <w:szCs w:val="24"/>
        </w:rPr>
        <w:t xml:space="preserve">in a similar financial circumstance as it would have under the previous relationship.  </w:t>
      </w:r>
    </w:p>
    <w:p w:rsidR="00984859" w:rsidRDefault="00984859" w:rsidP="00984859">
      <w:pPr>
        <w:spacing w:after="0"/>
        <w:jc w:val="both"/>
        <w:rPr>
          <w:rFonts w:ascii="Arial" w:hAnsi="Arial" w:cs="Arial"/>
          <w:sz w:val="24"/>
          <w:szCs w:val="24"/>
        </w:rPr>
      </w:pPr>
    </w:p>
    <w:p w:rsidR="00984859" w:rsidRDefault="00984859" w:rsidP="00984859">
      <w:pPr>
        <w:spacing w:after="0"/>
        <w:jc w:val="both"/>
        <w:rPr>
          <w:rFonts w:ascii="Arial" w:hAnsi="Arial" w:cs="Arial"/>
          <w:sz w:val="24"/>
          <w:szCs w:val="24"/>
        </w:rPr>
      </w:pPr>
      <w:r>
        <w:rPr>
          <w:rFonts w:ascii="Arial" w:hAnsi="Arial" w:cs="Arial"/>
          <w:sz w:val="24"/>
          <w:szCs w:val="24"/>
        </w:rPr>
        <w:t>The same is true for 2015 where the estimated lease payments would increase to $226,760 per month.</w:t>
      </w:r>
    </w:p>
    <w:p w:rsidR="00984859" w:rsidRDefault="00984859" w:rsidP="00984859">
      <w:pPr>
        <w:spacing w:after="0"/>
        <w:jc w:val="both"/>
        <w:rPr>
          <w:rFonts w:ascii="Arial" w:hAnsi="Arial" w:cs="Arial"/>
          <w:sz w:val="24"/>
          <w:szCs w:val="24"/>
        </w:rPr>
      </w:pPr>
    </w:p>
    <w:tbl>
      <w:tblPr>
        <w:tblW w:w="8100" w:type="dxa"/>
        <w:tblLook w:val="04A0" w:firstRow="1" w:lastRow="0" w:firstColumn="1" w:lastColumn="0" w:noHBand="0" w:noVBand="1"/>
      </w:tblPr>
      <w:tblGrid>
        <w:gridCol w:w="1780"/>
        <w:gridCol w:w="2450"/>
        <w:gridCol w:w="1800"/>
        <w:gridCol w:w="2070"/>
      </w:tblGrid>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Times New Roman" w:eastAsia="Times New Roman" w:hAnsi="Times New Roman" w:cs="Times New Roman"/>
                <w:sz w:val="24"/>
                <w:szCs w:val="24"/>
              </w:rPr>
            </w:pPr>
          </w:p>
        </w:tc>
        <w:tc>
          <w:tcPr>
            <w:tcW w:w="6320" w:type="dxa"/>
            <w:gridSpan w:val="3"/>
            <w:tcBorders>
              <w:top w:val="nil"/>
              <w:left w:val="nil"/>
              <w:bottom w:val="nil"/>
              <w:right w:val="nil"/>
            </w:tcBorders>
            <w:shd w:val="clear" w:color="auto" w:fill="auto"/>
            <w:noWrap/>
            <w:vAlign w:val="bottom"/>
            <w:hideMark/>
          </w:tcPr>
          <w:p w:rsidR="00984859" w:rsidRPr="00984859" w:rsidRDefault="00984859" w:rsidP="00984859">
            <w:pPr>
              <w:spacing w:after="0" w:line="240" w:lineRule="auto"/>
              <w:jc w:val="center"/>
              <w:rPr>
                <w:rFonts w:ascii="Calibri" w:eastAsia="Times New Roman" w:hAnsi="Calibri" w:cs="Times New Roman"/>
                <w:color w:val="000000"/>
              </w:rPr>
            </w:pPr>
            <w:r w:rsidRPr="00984859">
              <w:rPr>
                <w:rFonts w:ascii="Calibri" w:eastAsia="Times New Roman" w:hAnsi="Calibri" w:cs="Times New Roman"/>
                <w:color w:val="000000"/>
              </w:rPr>
              <w:t>Projected Annual Totals (MILES)</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jc w:val="center"/>
              <w:rPr>
                <w:rFonts w:ascii="Calibri" w:eastAsia="Times New Roman" w:hAnsi="Calibri" w:cs="Times New Roman"/>
                <w:color w:val="000000"/>
              </w:rPr>
            </w:pP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jc w:val="center"/>
              <w:rPr>
                <w:rFonts w:ascii="Calibri" w:eastAsia="Times New Roman" w:hAnsi="Calibri" w:cs="Times New Roman"/>
                <w:color w:val="000000"/>
              </w:rPr>
            </w:pPr>
            <w:r w:rsidRPr="00984859">
              <w:rPr>
                <w:rFonts w:ascii="Calibri" w:eastAsia="Times New Roman" w:hAnsi="Calibri" w:cs="Times New Roman"/>
                <w:color w:val="000000"/>
              </w:rPr>
              <w:t>2013</w:t>
            </w:r>
          </w:p>
        </w:tc>
        <w:tc>
          <w:tcPr>
            <w:tcW w:w="1800" w:type="dxa"/>
            <w:tcBorders>
              <w:top w:val="nil"/>
              <w:left w:val="nil"/>
              <w:bottom w:val="nil"/>
              <w:right w:val="nil"/>
            </w:tcBorders>
            <w:shd w:val="clear" w:color="auto" w:fill="auto"/>
            <w:noWrap/>
            <w:vAlign w:val="bottom"/>
            <w:hideMark/>
          </w:tcPr>
          <w:p w:rsidR="00984859" w:rsidRPr="00984859" w:rsidRDefault="00984859" w:rsidP="00280194">
            <w:pPr>
              <w:spacing w:after="0" w:line="240" w:lineRule="auto"/>
              <w:jc w:val="center"/>
              <w:rPr>
                <w:rFonts w:ascii="Calibri" w:eastAsia="Times New Roman" w:hAnsi="Calibri" w:cs="Times New Roman"/>
                <w:color w:val="000000"/>
              </w:rPr>
            </w:pPr>
            <w:r w:rsidRPr="00984859">
              <w:rPr>
                <w:rFonts w:ascii="Calibri" w:eastAsia="Times New Roman" w:hAnsi="Calibri" w:cs="Times New Roman"/>
                <w:color w:val="000000"/>
              </w:rPr>
              <w:t>2014</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jc w:val="center"/>
              <w:rPr>
                <w:rFonts w:ascii="Calibri" w:eastAsia="Times New Roman" w:hAnsi="Calibri" w:cs="Times New Roman"/>
                <w:color w:val="000000"/>
              </w:rPr>
            </w:pPr>
            <w:r w:rsidRPr="00984859">
              <w:rPr>
                <w:rFonts w:ascii="Calibri" w:eastAsia="Times New Roman" w:hAnsi="Calibri" w:cs="Times New Roman"/>
                <w:color w:val="000000"/>
              </w:rPr>
              <w:t>2015</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Pension Est</w:t>
            </w: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76,000 </w:t>
            </w:r>
          </w:p>
        </w:tc>
        <w:tc>
          <w:tcPr>
            <w:tcW w:w="180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107,500 </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95,000 </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Benefits Mgmt </w:t>
            </w: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22,000 </w:t>
            </w:r>
          </w:p>
        </w:tc>
        <w:tc>
          <w:tcPr>
            <w:tcW w:w="180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70,000 </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70,000 </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Mail/Record</w:t>
            </w: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71,000 </w:t>
            </w:r>
          </w:p>
        </w:tc>
        <w:tc>
          <w:tcPr>
            <w:tcW w:w="180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30,000 </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30,000 </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Long Distance</w:t>
            </w: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   </w:t>
            </w:r>
          </w:p>
        </w:tc>
        <w:tc>
          <w:tcPr>
            <w:tcW w:w="180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3,000 </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3,000 </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IT Services </w:t>
            </w: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1,021,368 </w:t>
            </w:r>
          </w:p>
        </w:tc>
        <w:tc>
          <w:tcPr>
            <w:tcW w:w="180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340,456 </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   </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Rent</w:t>
            </w: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1,690,825 </w:t>
            </w:r>
          </w:p>
        </w:tc>
        <w:tc>
          <w:tcPr>
            <w:tcW w:w="180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2,380,668 </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2,721,120 </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QMATIC</w:t>
            </w: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11,086 </w:t>
            </w:r>
          </w:p>
        </w:tc>
        <w:tc>
          <w:tcPr>
            <w:tcW w:w="180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   </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   </w:t>
            </w:r>
          </w:p>
        </w:tc>
      </w:tr>
      <w:tr w:rsidR="00984859" w:rsidRPr="00984859" w:rsidTr="00280194">
        <w:trPr>
          <w:trHeight w:val="300"/>
        </w:trPr>
        <w:tc>
          <w:tcPr>
            <w:tcW w:w="178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Total Estimates</w:t>
            </w:r>
          </w:p>
        </w:tc>
        <w:tc>
          <w:tcPr>
            <w:tcW w:w="245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2,892,279 </w:t>
            </w:r>
          </w:p>
        </w:tc>
        <w:tc>
          <w:tcPr>
            <w:tcW w:w="180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2,931,624 </w:t>
            </w:r>
          </w:p>
        </w:tc>
        <w:tc>
          <w:tcPr>
            <w:tcW w:w="2070" w:type="dxa"/>
            <w:tcBorders>
              <w:top w:val="nil"/>
              <w:left w:val="nil"/>
              <w:bottom w:val="nil"/>
              <w:right w:val="nil"/>
            </w:tcBorders>
            <w:shd w:val="clear" w:color="auto" w:fill="auto"/>
            <w:noWrap/>
            <w:vAlign w:val="bottom"/>
            <w:hideMark/>
          </w:tcPr>
          <w:p w:rsidR="00984859" w:rsidRPr="00984859" w:rsidRDefault="00984859" w:rsidP="00984859">
            <w:pPr>
              <w:spacing w:after="0" w:line="240" w:lineRule="auto"/>
              <w:rPr>
                <w:rFonts w:ascii="Calibri" w:eastAsia="Times New Roman" w:hAnsi="Calibri" w:cs="Times New Roman"/>
                <w:color w:val="000000"/>
              </w:rPr>
            </w:pPr>
            <w:r w:rsidRPr="00984859">
              <w:rPr>
                <w:rFonts w:ascii="Calibri" w:eastAsia="Times New Roman" w:hAnsi="Calibri" w:cs="Times New Roman"/>
                <w:color w:val="000000"/>
              </w:rPr>
              <w:t xml:space="preserve"> $        2,921,135 </w:t>
            </w:r>
          </w:p>
        </w:tc>
      </w:tr>
    </w:tbl>
    <w:p w:rsidR="00984859" w:rsidRDefault="00984859" w:rsidP="00984859">
      <w:pPr>
        <w:spacing w:after="0"/>
        <w:jc w:val="both"/>
        <w:rPr>
          <w:rFonts w:ascii="Arial" w:hAnsi="Arial" w:cs="Arial"/>
          <w:sz w:val="24"/>
          <w:szCs w:val="24"/>
        </w:rPr>
      </w:pPr>
    </w:p>
    <w:p w:rsidR="00984859" w:rsidRDefault="00984859" w:rsidP="00984859">
      <w:pPr>
        <w:spacing w:after="0"/>
        <w:jc w:val="both"/>
        <w:rPr>
          <w:rFonts w:ascii="Arial" w:hAnsi="Arial" w:cs="Arial"/>
          <w:sz w:val="24"/>
          <w:szCs w:val="24"/>
        </w:rPr>
      </w:pPr>
    </w:p>
    <w:p w:rsidR="00F63DA6" w:rsidRPr="00D901BC" w:rsidRDefault="00F63DA6" w:rsidP="00D901BC">
      <w:pPr>
        <w:spacing w:after="0"/>
        <w:jc w:val="both"/>
        <w:rPr>
          <w:rFonts w:ascii="Arial" w:hAnsi="Arial" w:cs="Arial"/>
          <w:sz w:val="24"/>
          <w:szCs w:val="24"/>
        </w:rPr>
      </w:pPr>
      <w:r w:rsidRPr="00D901BC">
        <w:rPr>
          <w:rFonts w:ascii="Arial" w:hAnsi="Arial" w:cs="Arial"/>
          <w:b/>
          <w:sz w:val="24"/>
          <w:szCs w:val="24"/>
        </w:rPr>
        <w:t>Recommendation</w:t>
      </w:r>
    </w:p>
    <w:p w:rsidR="00F63DA6" w:rsidRPr="00D901BC" w:rsidRDefault="00F63DA6" w:rsidP="00D901BC">
      <w:pPr>
        <w:spacing w:after="0"/>
        <w:jc w:val="both"/>
        <w:rPr>
          <w:rFonts w:ascii="Arial" w:hAnsi="Arial" w:cs="Arial"/>
          <w:sz w:val="24"/>
          <w:szCs w:val="24"/>
        </w:rPr>
      </w:pPr>
    </w:p>
    <w:p w:rsidR="00F63DA6" w:rsidRPr="00D901BC" w:rsidRDefault="00F63DA6" w:rsidP="00D901BC">
      <w:pPr>
        <w:spacing w:after="0"/>
        <w:jc w:val="both"/>
        <w:rPr>
          <w:rFonts w:ascii="Arial" w:hAnsi="Arial" w:cs="Arial"/>
          <w:sz w:val="24"/>
          <w:szCs w:val="24"/>
        </w:rPr>
      </w:pPr>
      <w:r w:rsidRPr="00D901BC">
        <w:rPr>
          <w:rFonts w:ascii="Arial" w:hAnsi="Arial" w:cs="Arial"/>
          <w:sz w:val="24"/>
          <w:szCs w:val="24"/>
        </w:rPr>
        <w:t>It is recommended that the County Board of Supervisors authorized the Director of the Economic Development Department, Department</w:t>
      </w:r>
      <w:r w:rsidR="00B93979" w:rsidRPr="00D901BC">
        <w:rPr>
          <w:rFonts w:ascii="Arial" w:hAnsi="Arial" w:cs="Arial"/>
          <w:sz w:val="24"/>
          <w:szCs w:val="24"/>
        </w:rPr>
        <w:t xml:space="preserve"> of Administrative Services, to amend contract CFC00255 with the State </w:t>
      </w:r>
      <w:r w:rsidR="00971A14" w:rsidRPr="00D901BC">
        <w:rPr>
          <w:rFonts w:ascii="Arial" w:hAnsi="Arial" w:cs="Arial"/>
          <w:sz w:val="24"/>
          <w:szCs w:val="24"/>
        </w:rPr>
        <w:t xml:space="preserve">of Wisconsin </w:t>
      </w:r>
      <w:r w:rsidR="00B93979" w:rsidRPr="00D901BC">
        <w:rPr>
          <w:rFonts w:ascii="Arial" w:hAnsi="Arial" w:cs="Arial"/>
          <w:sz w:val="24"/>
          <w:szCs w:val="24"/>
        </w:rPr>
        <w:t>Department of Children and Families (DCF) for ad</w:t>
      </w:r>
      <w:bookmarkStart w:id="0" w:name="_GoBack"/>
      <w:bookmarkEnd w:id="0"/>
      <w:r w:rsidR="00B93979" w:rsidRPr="00D901BC">
        <w:rPr>
          <w:rFonts w:ascii="Arial" w:hAnsi="Arial" w:cs="Arial"/>
          <w:sz w:val="24"/>
          <w:szCs w:val="24"/>
        </w:rPr>
        <w:t>ministration of the Milwaukee Early Care Administration (MECA) child care program, and to enter into a lease with the State of Wisconsin Department of Health Services (DHS) for a portion of the Marcia P. Coggs Center.</w:t>
      </w:r>
    </w:p>
    <w:p w:rsidR="00117B4E" w:rsidRPr="00D901BC" w:rsidRDefault="00117B4E" w:rsidP="00D901BC">
      <w:pPr>
        <w:spacing w:after="0"/>
        <w:jc w:val="both"/>
        <w:rPr>
          <w:rFonts w:ascii="Arial" w:hAnsi="Arial" w:cs="Arial"/>
          <w:sz w:val="24"/>
          <w:szCs w:val="24"/>
        </w:rPr>
      </w:pPr>
    </w:p>
    <w:p w:rsidR="00F63DA6" w:rsidRPr="00D901BC" w:rsidRDefault="00F63DA6" w:rsidP="00D901BC">
      <w:pPr>
        <w:spacing w:after="0"/>
        <w:jc w:val="both"/>
        <w:rPr>
          <w:rFonts w:ascii="Arial" w:hAnsi="Arial" w:cs="Arial"/>
          <w:sz w:val="24"/>
          <w:szCs w:val="24"/>
        </w:rPr>
      </w:pPr>
    </w:p>
    <w:p w:rsidR="00117B4E" w:rsidRPr="00D901BC" w:rsidRDefault="00117B4E" w:rsidP="00D901BC">
      <w:pPr>
        <w:pStyle w:val="BodyTextIndent"/>
        <w:jc w:val="both"/>
        <w:rPr>
          <w:rFonts w:ascii="Arial" w:hAnsi="Arial" w:cs="Arial"/>
          <w:bCs/>
        </w:rPr>
      </w:pPr>
    </w:p>
    <w:p w:rsidR="00117B4E" w:rsidRPr="00D901BC" w:rsidRDefault="00117B4E" w:rsidP="00D901BC">
      <w:pPr>
        <w:pStyle w:val="BodyTextIndent"/>
        <w:jc w:val="both"/>
        <w:rPr>
          <w:rFonts w:ascii="Arial" w:hAnsi="Arial" w:cs="Arial"/>
          <w:bCs/>
        </w:rPr>
      </w:pPr>
    </w:p>
    <w:p w:rsidR="00117B4E" w:rsidRDefault="00117B4E" w:rsidP="00117B4E">
      <w:pPr>
        <w:pStyle w:val="BodyTextIndent"/>
        <w:rPr>
          <w:rFonts w:ascii="Arial" w:hAnsi="Arial" w:cs="Arial"/>
          <w:b/>
          <w:bCs/>
        </w:rPr>
      </w:pPr>
      <w:r>
        <w:rPr>
          <w:rFonts w:ascii="Arial" w:hAnsi="Arial" w:cs="Arial"/>
          <w:b/>
          <w:bCs/>
        </w:rPr>
        <w:t>_____________________________</w:t>
      </w:r>
    </w:p>
    <w:p w:rsidR="00117B4E" w:rsidRPr="00395AFF" w:rsidRDefault="00117B4E" w:rsidP="00117B4E">
      <w:pPr>
        <w:pStyle w:val="BodyTextIndent"/>
        <w:rPr>
          <w:rFonts w:ascii="Arial" w:hAnsi="Arial" w:cs="Arial"/>
          <w:bCs/>
        </w:rPr>
      </w:pPr>
      <w:r>
        <w:rPr>
          <w:rFonts w:ascii="Arial" w:hAnsi="Arial" w:cs="Arial"/>
          <w:bCs/>
        </w:rPr>
        <w:t>Teig Whaley-Smith</w:t>
      </w:r>
    </w:p>
    <w:p w:rsidR="00117B4E" w:rsidRDefault="00117B4E" w:rsidP="00117B4E">
      <w:pPr>
        <w:pStyle w:val="BodyTextIndent"/>
        <w:rPr>
          <w:rFonts w:ascii="Arial" w:hAnsi="Arial" w:cs="Arial"/>
        </w:rPr>
      </w:pPr>
      <w:r>
        <w:rPr>
          <w:rFonts w:ascii="Arial" w:hAnsi="Arial" w:cs="Arial"/>
        </w:rPr>
        <w:t>Economic Development Director, Department of Administrative Services</w:t>
      </w:r>
    </w:p>
    <w:p w:rsidR="00117B4E" w:rsidRDefault="00117B4E" w:rsidP="00117B4E">
      <w:pPr>
        <w:pStyle w:val="BodyTextIndent"/>
        <w:rPr>
          <w:rFonts w:ascii="Arial" w:hAnsi="Arial" w:cs="Arial"/>
        </w:rPr>
      </w:pPr>
    </w:p>
    <w:p w:rsidR="00117B4E" w:rsidRDefault="00117B4E" w:rsidP="00117B4E">
      <w:pPr>
        <w:pStyle w:val="BodyTextIndent"/>
        <w:ind w:left="0" w:firstLine="0"/>
        <w:rPr>
          <w:rFonts w:ascii="Arial" w:hAnsi="Arial" w:cs="Arial"/>
          <w:bCs/>
        </w:rPr>
      </w:pPr>
      <w:r>
        <w:rPr>
          <w:rFonts w:ascii="Arial" w:hAnsi="Arial" w:cs="Arial"/>
          <w:bCs/>
        </w:rPr>
        <w:t>c</w:t>
      </w:r>
      <w:r w:rsidRPr="00E200DC">
        <w:rPr>
          <w:rFonts w:ascii="Arial" w:hAnsi="Arial" w:cs="Arial"/>
          <w:bCs/>
        </w:rPr>
        <w:t>c:</w:t>
      </w:r>
      <w:r>
        <w:rPr>
          <w:rFonts w:ascii="Arial" w:hAnsi="Arial" w:cs="Arial"/>
          <w:bCs/>
        </w:rPr>
        <w:tab/>
        <w:t>Chris Abele, County Executive</w:t>
      </w:r>
    </w:p>
    <w:p w:rsidR="00117B4E" w:rsidRPr="00F32CA1" w:rsidRDefault="00117B4E" w:rsidP="00117B4E">
      <w:pPr>
        <w:pStyle w:val="BodyTextIndent"/>
        <w:ind w:left="0" w:firstLine="0"/>
        <w:rPr>
          <w:rFonts w:ascii="Arial" w:hAnsi="Arial" w:cs="Arial"/>
          <w:bCs/>
          <w:i/>
        </w:rPr>
      </w:pPr>
      <w:r w:rsidRPr="00F32CA1">
        <w:rPr>
          <w:rFonts w:ascii="Arial" w:hAnsi="Arial" w:cs="Arial"/>
          <w:bCs/>
          <w:i/>
        </w:rPr>
        <w:tab/>
      </w:r>
      <w:r w:rsidRPr="00E9015C">
        <w:rPr>
          <w:rFonts w:ascii="Arial" w:hAnsi="Arial" w:cs="Arial"/>
          <w:bCs/>
        </w:rPr>
        <w:t>Marina Dimitrijevic, County Board Chairwoman</w:t>
      </w:r>
    </w:p>
    <w:p w:rsidR="00117B4E" w:rsidRDefault="00D901BC" w:rsidP="00117B4E">
      <w:pPr>
        <w:pStyle w:val="BodyTextIndent"/>
        <w:ind w:left="0" w:firstLine="0"/>
        <w:rPr>
          <w:rFonts w:ascii="Arial" w:hAnsi="Arial" w:cs="Arial"/>
          <w:bCs/>
        </w:rPr>
      </w:pPr>
      <w:r>
        <w:rPr>
          <w:rFonts w:ascii="Arial" w:hAnsi="Arial" w:cs="Arial"/>
          <w:bCs/>
        </w:rPr>
        <w:tab/>
      </w:r>
      <w:r w:rsidRPr="005D21D3">
        <w:rPr>
          <w:rFonts w:ascii="Arial" w:hAnsi="Arial" w:cs="Arial"/>
          <w:bCs/>
        </w:rPr>
        <w:t>Transportation, Public Works and Transit</w:t>
      </w:r>
      <w:r w:rsidR="00117B4E" w:rsidRPr="005D21D3">
        <w:rPr>
          <w:rFonts w:ascii="Arial" w:hAnsi="Arial" w:cs="Arial"/>
          <w:bCs/>
        </w:rPr>
        <w:t xml:space="preserve"> Committee Members</w:t>
      </w:r>
    </w:p>
    <w:p w:rsidR="00117B4E" w:rsidRDefault="00117B4E" w:rsidP="00117B4E">
      <w:pPr>
        <w:pStyle w:val="BodyTextIndent"/>
        <w:ind w:left="0" w:firstLine="0"/>
        <w:rPr>
          <w:rFonts w:ascii="Arial" w:hAnsi="Arial" w:cs="Arial"/>
          <w:bCs/>
        </w:rPr>
      </w:pPr>
      <w:r>
        <w:rPr>
          <w:rFonts w:ascii="Arial" w:hAnsi="Arial" w:cs="Arial"/>
          <w:bCs/>
        </w:rPr>
        <w:tab/>
        <w:t>Finance</w:t>
      </w:r>
      <w:r w:rsidR="00D901BC">
        <w:rPr>
          <w:rFonts w:ascii="Arial" w:hAnsi="Arial" w:cs="Arial"/>
          <w:bCs/>
        </w:rPr>
        <w:t>, Audit and Personnel</w:t>
      </w:r>
      <w:r>
        <w:rPr>
          <w:rFonts w:ascii="Arial" w:hAnsi="Arial" w:cs="Arial"/>
          <w:bCs/>
        </w:rPr>
        <w:t xml:space="preserve"> Committee Members</w:t>
      </w:r>
    </w:p>
    <w:p w:rsidR="00117B4E" w:rsidRDefault="00117B4E" w:rsidP="00117B4E">
      <w:pPr>
        <w:pStyle w:val="BodyTextIndent"/>
        <w:ind w:left="0" w:firstLine="0"/>
        <w:rPr>
          <w:rFonts w:ascii="Arial" w:hAnsi="Arial" w:cs="Arial"/>
          <w:bCs/>
        </w:rPr>
      </w:pPr>
      <w:r>
        <w:rPr>
          <w:rFonts w:ascii="Arial" w:hAnsi="Arial" w:cs="Arial"/>
          <w:bCs/>
        </w:rPr>
        <w:tab/>
        <w:t>Don Tyler, Director, Department</w:t>
      </w:r>
      <w:r w:rsidRPr="00AF1988">
        <w:rPr>
          <w:rFonts w:ascii="Arial" w:hAnsi="Arial" w:cs="Arial"/>
          <w:bCs/>
        </w:rPr>
        <w:t xml:space="preserve"> of Administrative Services</w:t>
      </w:r>
    </w:p>
    <w:p w:rsidR="00117B4E" w:rsidRDefault="00117B4E" w:rsidP="00117B4E">
      <w:pPr>
        <w:pStyle w:val="BodyTextIndent"/>
        <w:ind w:left="720" w:hanging="720"/>
        <w:rPr>
          <w:rFonts w:ascii="Arial" w:hAnsi="Arial" w:cs="Arial"/>
          <w:bCs/>
        </w:rPr>
      </w:pPr>
      <w:r>
        <w:rPr>
          <w:rFonts w:ascii="Arial" w:hAnsi="Arial" w:cs="Arial"/>
          <w:bCs/>
        </w:rPr>
        <w:tab/>
        <w:t>Kelly Bablitch, Chief of Staff, County Board of Supervisors</w:t>
      </w:r>
    </w:p>
    <w:p w:rsidR="00117B4E" w:rsidRPr="00AF1988" w:rsidRDefault="00117B4E" w:rsidP="00117B4E">
      <w:pPr>
        <w:pStyle w:val="BodyTextIndent"/>
        <w:ind w:left="720" w:hanging="720"/>
        <w:rPr>
          <w:rFonts w:ascii="Arial" w:hAnsi="Arial" w:cs="Arial"/>
          <w:bCs/>
        </w:rPr>
      </w:pPr>
      <w:r w:rsidRPr="00AF1988">
        <w:rPr>
          <w:rFonts w:ascii="Arial" w:hAnsi="Arial" w:cs="Arial"/>
          <w:bCs/>
        </w:rPr>
        <w:tab/>
        <w:t>Raisa Koltun, Director of Legislative Aff</w:t>
      </w:r>
      <w:r>
        <w:rPr>
          <w:rFonts w:ascii="Arial" w:hAnsi="Arial" w:cs="Arial"/>
          <w:bCs/>
        </w:rPr>
        <w:t>airs, County Executive’s Office</w:t>
      </w:r>
    </w:p>
    <w:p w:rsidR="00117B4E" w:rsidRPr="00AF1988" w:rsidRDefault="00117B4E" w:rsidP="00117B4E">
      <w:pPr>
        <w:pStyle w:val="BodyTextIndent"/>
        <w:ind w:left="0" w:firstLine="0"/>
        <w:rPr>
          <w:rFonts w:ascii="Arial" w:hAnsi="Arial" w:cs="Arial"/>
          <w:bCs/>
        </w:rPr>
      </w:pPr>
      <w:r w:rsidRPr="00AF1988">
        <w:rPr>
          <w:rFonts w:ascii="Arial" w:hAnsi="Arial" w:cs="Arial"/>
          <w:bCs/>
        </w:rPr>
        <w:tab/>
        <w:t>Julie Esch, Director of Operations, DAS</w:t>
      </w:r>
    </w:p>
    <w:sectPr w:rsidR="00117B4E" w:rsidRPr="00AF1988" w:rsidSect="00134DD7">
      <w:headerReference w:type="default" r:id="rId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D7" w:rsidRDefault="00134DD7" w:rsidP="00134DD7">
      <w:pPr>
        <w:spacing w:after="0" w:line="240" w:lineRule="auto"/>
      </w:pPr>
      <w:r>
        <w:separator/>
      </w:r>
    </w:p>
  </w:endnote>
  <w:endnote w:type="continuationSeparator" w:id="0">
    <w:p w:rsidR="00134DD7" w:rsidRDefault="00134DD7" w:rsidP="0013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D7" w:rsidRDefault="00134DD7" w:rsidP="00134DD7">
      <w:pPr>
        <w:spacing w:after="0" w:line="240" w:lineRule="auto"/>
      </w:pPr>
      <w:r>
        <w:separator/>
      </w:r>
    </w:p>
  </w:footnote>
  <w:footnote w:type="continuationSeparator" w:id="0">
    <w:p w:rsidR="00134DD7" w:rsidRDefault="00134DD7" w:rsidP="00134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D7" w:rsidRPr="00134DD7" w:rsidRDefault="003D6007" w:rsidP="00134DD7">
    <w:pPr>
      <w:pStyle w:val="Header"/>
      <w:tabs>
        <w:tab w:val="clear" w:pos="4680"/>
      </w:tabs>
      <w:rPr>
        <w:rFonts w:ascii="Arial" w:hAnsi="Arial" w:cs="Arial"/>
        <w:sz w:val="24"/>
        <w:szCs w:val="24"/>
      </w:rPr>
    </w:pPr>
    <w:r>
      <w:rPr>
        <w:rFonts w:ascii="Arial" w:hAnsi="Arial" w:cs="Arial"/>
        <w:sz w:val="24"/>
        <w:szCs w:val="24"/>
      </w:rPr>
      <w:tab/>
      <w:t>September 2</w:t>
    </w:r>
    <w:r w:rsidR="00134DD7" w:rsidRPr="00134DD7">
      <w:rPr>
        <w:rFonts w:ascii="Arial" w:hAnsi="Arial" w:cs="Arial"/>
        <w:sz w:val="24"/>
        <w:szCs w:val="24"/>
      </w:rPr>
      <w:t>, 2014</w:t>
    </w:r>
  </w:p>
  <w:p w:rsidR="00134DD7" w:rsidRDefault="00134DD7" w:rsidP="00134DD7">
    <w:pPr>
      <w:pStyle w:val="Header"/>
      <w:tabs>
        <w:tab w:val="clear" w:pos="4680"/>
      </w:tabs>
      <w:rPr>
        <w:rFonts w:ascii="Arial" w:hAnsi="Arial" w:cs="Arial"/>
        <w:noProof/>
        <w:sz w:val="24"/>
        <w:szCs w:val="24"/>
      </w:rPr>
    </w:pPr>
    <w:r w:rsidRPr="00134DD7">
      <w:rPr>
        <w:rFonts w:ascii="Arial" w:hAnsi="Arial" w:cs="Arial"/>
        <w:sz w:val="24"/>
        <w:szCs w:val="24"/>
      </w:rPr>
      <w:ptab w:relativeTo="margin" w:alignment="right" w:leader="none"/>
    </w:r>
    <w:r w:rsidRPr="00134DD7">
      <w:rPr>
        <w:rFonts w:ascii="Arial" w:hAnsi="Arial" w:cs="Arial"/>
        <w:sz w:val="24"/>
        <w:szCs w:val="24"/>
      </w:rPr>
      <w:t xml:space="preserve">Page </w:t>
    </w:r>
    <w:r w:rsidRPr="00134DD7">
      <w:rPr>
        <w:rFonts w:ascii="Arial" w:hAnsi="Arial" w:cs="Arial"/>
        <w:sz w:val="24"/>
        <w:szCs w:val="24"/>
      </w:rPr>
      <w:fldChar w:fldCharType="begin"/>
    </w:r>
    <w:r w:rsidRPr="00134DD7">
      <w:rPr>
        <w:rFonts w:ascii="Arial" w:hAnsi="Arial" w:cs="Arial"/>
        <w:sz w:val="24"/>
        <w:szCs w:val="24"/>
      </w:rPr>
      <w:instrText xml:space="preserve"> PAGE   \* MERGEFORMAT </w:instrText>
    </w:r>
    <w:r w:rsidRPr="00134DD7">
      <w:rPr>
        <w:rFonts w:ascii="Arial" w:hAnsi="Arial" w:cs="Arial"/>
        <w:sz w:val="24"/>
        <w:szCs w:val="24"/>
      </w:rPr>
      <w:fldChar w:fldCharType="separate"/>
    </w:r>
    <w:r w:rsidR="005D21D3">
      <w:rPr>
        <w:rFonts w:ascii="Arial" w:hAnsi="Arial" w:cs="Arial"/>
        <w:noProof/>
        <w:sz w:val="24"/>
        <w:szCs w:val="24"/>
      </w:rPr>
      <w:t>3</w:t>
    </w:r>
    <w:r w:rsidRPr="00134DD7">
      <w:rPr>
        <w:rFonts w:ascii="Arial" w:hAnsi="Arial" w:cs="Arial"/>
        <w:noProof/>
        <w:sz w:val="24"/>
        <w:szCs w:val="24"/>
      </w:rPr>
      <w:fldChar w:fldCharType="end"/>
    </w:r>
  </w:p>
  <w:p w:rsidR="00134DD7" w:rsidRPr="00134DD7" w:rsidRDefault="00134DD7" w:rsidP="00134DD7">
    <w:pPr>
      <w:pStyle w:val="Header"/>
      <w:tabs>
        <w:tab w:val="clear" w:pos="4680"/>
      </w:tabs>
      <w:rPr>
        <w:rFonts w:ascii="Arial" w:hAnsi="Arial" w:cs="Arial"/>
        <w:sz w:val="24"/>
        <w:szCs w:val="24"/>
      </w:rPr>
    </w:pPr>
  </w:p>
  <w:p w:rsidR="00134DD7" w:rsidRDefault="00134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81"/>
    <w:rsid w:val="000812AD"/>
    <w:rsid w:val="00117B4E"/>
    <w:rsid w:val="00134DD7"/>
    <w:rsid w:val="00270EA2"/>
    <w:rsid w:val="002800FD"/>
    <w:rsid w:val="00280194"/>
    <w:rsid w:val="0034076B"/>
    <w:rsid w:val="003D6007"/>
    <w:rsid w:val="00470633"/>
    <w:rsid w:val="005D21D3"/>
    <w:rsid w:val="0069733C"/>
    <w:rsid w:val="0073197D"/>
    <w:rsid w:val="00791EF4"/>
    <w:rsid w:val="0088021E"/>
    <w:rsid w:val="00971A14"/>
    <w:rsid w:val="00984859"/>
    <w:rsid w:val="00AB6286"/>
    <w:rsid w:val="00B04155"/>
    <w:rsid w:val="00B40FF7"/>
    <w:rsid w:val="00B634A4"/>
    <w:rsid w:val="00B93979"/>
    <w:rsid w:val="00C95259"/>
    <w:rsid w:val="00D901BC"/>
    <w:rsid w:val="00D93581"/>
    <w:rsid w:val="00F63DA6"/>
    <w:rsid w:val="00F9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1983C-02B3-44A3-A801-4E8FCC3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17B4E"/>
    <w:pPr>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117B4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3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DD7"/>
  </w:style>
  <w:style w:type="paragraph" w:styleId="Footer">
    <w:name w:val="footer"/>
    <w:basedOn w:val="Normal"/>
    <w:link w:val="FooterChar"/>
    <w:uiPriority w:val="99"/>
    <w:unhideWhenUsed/>
    <w:rsid w:val="0013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DD7"/>
  </w:style>
  <w:style w:type="paragraph" w:styleId="BalloonText">
    <w:name w:val="Balloon Text"/>
    <w:basedOn w:val="Normal"/>
    <w:link w:val="BalloonTextChar"/>
    <w:uiPriority w:val="99"/>
    <w:semiHidden/>
    <w:unhideWhenUsed/>
    <w:rsid w:val="00AB6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02346">
      <w:bodyDiv w:val="1"/>
      <w:marLeft w:val="0"/>
      <w:marRight w:val="0"/>
      <w:marTop w:val="0"/>
      <w:marBottom w:val="0"/>
      <w:divBdr>
        <w:top w:val="none" w:sz="0" w:space="0" w:color="auto"/>
        <w:left w:val="none" w:sz="0" w:space="0" w:color="auto"/>
        <w:bottom w:val="none" w:sz="0" w:space="0" w:color="auto"/>
        <w:right w:val="none" w:sz="0" w:space="0" w:color="auto"/>
      </w:divBdr>
    </w:div>
    <w:div w:id="16922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Deraa, Emily</dc:creator>
  <cp:keywords/>
  <dc:description/>
  <cp:lastModifiedBy>Sebastian, Nancy</cp:lastModifiedBy>
  <cp:revision>14</cp:revision>
  <cp:lastPrinted>2014-07-02T18:38:00Z</cp:lastPrinted>
  <dcterms:created xsi:type="dcterms:W3CDTF">2014-06-25T20:44:00Z</dcterms:created>
  <dcterms:modified xsi:type="dcterms:W3CDTF">2014-09-02T19:03:00Z</dcterms:modified>
</cp:coreProperties>
</file>