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6981" w14:textId="0117A16C" w:rsidR="00BD268E" w:rsidRDefault="000944DC" w:rsidP="000944DC">
      <w:pPr>
        <w:rPr>
          <w:rFonts w:ascii="Arial" w:hAnsi="Arial" w:cs="Arial"/>
        </w:rPr>
      </w:pPr>
      <w:r w:rsidRPr="000944DC">
        <w:rPr>
          <w:rFonts w:ascii="Arial" w:hAnsi="Arial" w:cs="Arial"/>
        </w:rPr>
        <w:t>By Supervisor</w:t>
      </w:r>
      <w:r w:rsidR="003C1EB2">
        <w:rPr>
          <w:rFonts w:ascii="Arial" w:hAnsi="Arial" w:cs="Arial"/>
        </w:rPr>
        <w:t>s</w:t>
      </w:r>
      <w:r w:rsidRPr="000944DC">
        <w:rPr>
          <w:rFonts w:ascii="Arial" w:hAnsi="Arial" w:cs="Arial"/>
        </w:rPr>
        <w:t xml:space="preserve"> </w:t>
      </w:r>
      <w:r w:rsidR="00903505">
        <w:rPr>
          <w:rFonts w:ascii="Arial" w:hAnsi="Arial" w:cs="Arial"/>
        </w:rPr>
        <w:t>Clancy</w:t>
      </w:r>
      <w:r w:rsidR="00961ADE">
        <w:rPr>
          <w:rFonts w:ascii="Arial" w:hAnsi="Arial" w:cs="Arial"/>
        </w:rPr>
        <w:t xml:space="preserve">, </w:t>
      </w:r>
      <w:r w:rsidR="00BD268E">
        <w:rPr>
          <w:rFonts w:ascii="Arial" w:hAnsi="Arial" w:cs="Arial"/>
        </w:rPr>
        <w:t xml:space="preserve">Zerpa, Martinez, </w:t>
      </w:r>
      <w:r w:rsidRPr="000944DC">
        <w:rPr>
          <w:rFonts w:ascii="Arial" w:hAnsi="Arial" w:cs="Arial"/>
        </w:rPr>
        <w:tab/>
      </w:r>
      <w:r w:rsidRPr="000944DC">
        <w:rPr>
          <w:rFonts w:ascii="Arial" w:hAnsi="Arial" w:cs="Arial"/>
        </w:rPr>
        <w:tab/>
      </w:r>
      <w:r w:rsidRPr="000944DC">
        <w:rPr>
          <w:rFonts w:ascii="Arial" w:hAnsi="Arial" w:cs="Arial"/>
        </w:rPr>
        <w:tab/>
      </w:r>
      <w:r w:rsidRPr="000944DC">
        <w:rPr>
          <w:rFonts w:ascii="Arial" w:hAnsi="Arial" w:cs="Arial"/>
        </w:rPr>
        <w:tab/>
      </w:r>
      <w:r w:rsidR="00756A2A">
        <w:rPr>
          <w:rFonts w:ascii="Arial" w:hAnsi="Arial" w:cs="Arial"/>
        </w:rPr>
        <w:t xml:space="preserve">       </w:t>
      </w:r>
      <w:r w:rsidRPr="000944DC">
        <w:rPr>
          <w:rFonts w:ascii="Arial" w:hAnsi="Arial" w:cs="Arial"/>
        </w:rPr>
        <w:t xml:space="preserve">File No. </w:t>
      </w:r>
      <w:r w:rsidR="00BD268E">
        <w:rPr>
          <w:rFonts w:ascii="Arial" w:hAnsi="Arial" w:cs="Arial"/>
        </w:rPr>
        <w:t>22-800</w:t>
      </w:r>
    </w:p>
    <w:p w14:paraId="17D9B2B1" w14:textId="3900E680" w:rsidR="000944DC" w:rsidRPr="000944DC" w:rsidRDefault="00BD268E" w:rsidP="000944DC">
      <w:pPr>
        <w:rPr>
          <w:rFonts w:ascii="Arial" w:hAnsi="Arial" w:cs="Arial"/>
        </w:rPr>
      </w:pPr>
      <w:r>
        <w:rPr>
          <w:rFonts w:ascii="Arial" w:hAnsi="Arial" w:cs="Arial"/>
        </w:rPr>
        <w:t xml:space="preserve">Coggs-Jones, </w:t>
      </w:r>
      <w:proofErr w:type="spellStart"/>
      <w:r>
        <w:rPr>
          <w:rFonts w:ascii="Arial" w:hAnsi="Arial" w:cs="Arial"/>
        </w:rPr>
        <w:t>Burgelis</w:t>
      </w:r>
      <w:proofErr w:type="spellEnd"/>
      <w:r>
        <w:rPr>
          <w:rFonts w:ascii="Arial" w:hAnsi="Arial" w:cs="Arial"/>
        </w:rPr>
        <w:t>, Rolland, and Taylor (5)</w:t>
      </w:r>
    </w:p>
    <w:p w14:paraId="0F366CEE" w14:textId="77777777" w:rsidR="002B0712" w:rsidRPr="000944DC" w:rsidRDefault="002B0712" w:rsidP="002B0712">
      <w:pPr>
        <w:rPr>
          <w:rFonts w:ascii="Arial" w:hAnsi="Arial" w:cs="Arial"/>
        </w:rPr>
      </w:pPr>
    </w:p>
    <w:p w14:paraId="35FD9032" w14:textId="77777777" w:rsidR="000944DC" w:rsidRPr="000944DC" w:rsidRDefault="000944DC" w:rsidP="002B0712">
      <w:pPr>
        <w:rPr>
          <w:rFonts w:ascii="Arial" w:hAnsi="Arial" w:cs="Arial"/>
        </w:rPr>
      </w:pPr>
    </w:p>
    <w:p w14:paraId="5B91AEAC" w14:textId="77777777" w:rsidR="000944DC" w:rsidRPr="000944DC" w:rsidRDefault="000944DC" w:rsidP="000944DC">
      <w:pPr>
        <w:jc w:val="center"/>
        <w:rPr>
          <w:rFonts w:ascii="Arial" w:hAnsi="Arial" w:cs="Arial"/>
          <w:b/>
        </w:rPr>
      </w:pPr>
      <w:bookmarkStart w:id="0" w:name="_Hlk511811319"/>
      <w:r w:rsidRPr="000944DC">
        <w:rPr>
          <w:rFonts w:ascii="Arial" w:hAnsi="Arial" w:cs="Arial"/>
          <w:b/>
        </w:rPr>
        <w:t>A RESOLUTION</w:t>
      </w:r>
    </w:p>
    <w:p w14:paraId="7EE6D486" w14:textId="77777777" w:rsidR="000944DC" w:rsidRDefault="000944DC" w:rsidP="002B0712">
      <w:pPr>
        <w:rPr>
          <w:rFonts w:ascii="Arial" w:hAnsi="Arial" w:cs="Arial"/>
        </w:rPr>
      </w:pPr>
    </w:p>
    <w:p w14:paraId="787402ED" w14:textId="4B68B88E" w:rsidR="002B0712" w:rsidRPr="000944DC" w:rsidRDefault="002B0712" w:rsidP="000944DC">
      <w:pPr>
        <w:jc w:val="center"/>
        <w:rPr>
          <w:rFonts w:ascii="Arial" w:hAnsi="Arial" w:cs="Arial"/>
        </w:rPr>
      </w:pPr>
      <w:r w:rsidRPr="000944DC">
        <w:rPr>
          <w:rFonts w:ascii="Arial" w:hAnsi="Arial" w:cs="Arial"/>
        </w:rPr>
        <w:t xml:space="preserve">providing for an advisory referendum on the November </w:t>
      </w:r>
      <w:r w:rsidR="00903505">
        <w:rPr>
          <w:rFonts w:ascii="Arial" w:hAnsi="Arial" w:cs="Arial"/>
        </w:rPr>
        <w:t>8</w:t>
      </w:r>
      <w:r w:rsidRPr="000944DC">
        <w:rPr>
          <w:rFonts w:ascii="Arial" w:hAnsi="Arial" w:cs="Arial"/>
        </w:rPr>
        <w:t>, 20</w:t>
      </w:r>
      <w:r w:rsidR="00903505">
        <w:rPr>
          <w:rFonts w:ascii="Arial" w:hAnsi="Arial" w:cs="Arial"/>
        </w:rPr>
        <w:t>22</w:t>
      </w:r>
      <w:r w:rsidRPr="000944DC">
        <w:rPr>
          <w:rFonts w:ascii="Arial" w:hAnsi="Arial" w:cs="Arial"/>
        </w:rPr>
        <w:t xml:space="preserve">, election ballot </w:t>
      </w:r>
      <w:r w:rsidR="00A37A44">
        <w:rPr>
          <w:rFonts w:ascii="Arial" w:hAnsi="Arial" w:cs="Arial"/>
        </w:rPr>
        <w:t xml:space="preserve">to </w:t>
      </w:r>
      <w:r w:rsidR="006C2C69">
        <w:rPr>
          <w:rFonts w:ascii="Arial" w:hAnsi="Arial" w:cs="Arial"/>
        </w:rPr>
        <w:t xml:space="preserve">measure </w:t>
      </w:r>
      <w:r w:rsidR="00A37A44">
        <w:rPr>
          <w:rFonts w:ascii="Arial" w:hAnsi="Arial" w:cs="Arial"/>
        </w:rPr>
        <w:t xml:space="preserve">public opinion on </w:t>
      </w:r>
      <w:r w:rsidR="000944DC" w:rsidRPr="00A37A44">
        <w:rPr>
          <w:rFonts w:ascii="Arial" w:hAnsi="Arial" w:cs="Arial"/>
        </w:rPr>
        <w:t xml:space="preserve">allowing adults 21 years of age and older to engage in the personal use of marijuana, </w:t>
      </w:r>
      <w:r w:rsidR="00D75225">
        <w:rPr>
          <w:rFonts w:ascii="Arial" w:hAnsi="Arial" w:cs="Arial"/>
        </w:rPr>
        <w:t xml:space="preserve">while also </w:t>
      </w:r>
      <w:r w:rsidR="000944DC" w:rsidRPr="00A37A44">
        <w:rPr>
          <w:rFonts w:ascii="Arial" w:hAnsi="Arial" w:cs="Arial"/>
        </w:rPr>
        <w:t>regulating commercial marijuana-related activities</w:t>
      </w:r>
      <w:r w:rsidR="00A51E9F">
        <w:rPr>
          <w:rFonts w:ascii="Arial" w:hAnsi="Arial" w:cs="Arial"/>
        </w:rPr>
        <w:t>,</w:t>
      </w:r>
      <w:r w:rsidR="000944DC" w:rsidRPr="00A37A44">
        <w:rPr>
          <w:rFonts w:ascii="Arial" w:hAnsi="Arial" w:cs="Arial"/>
        </w:rPr>
        <w:t xml:space="preserve"> and imposing a tax on the sale of marijuana</w:t>
      </w:r>
      <w:bookmarkStart w:id="1" w:name="OLE_LINK1"/>
      <w:bookmarkStart w:id="2" w:name="OLE_LINK2"/>
    </w:p>
    <w:bookmarkEnd w:id="0"/>
    <w:p w14:paraId="15A12DD2" w14:textId="77777777" w:rsidR="002B0712" w:rsidRPr="000944DC" w:rsidRDefault="002B0712" w:rsidP="002B0712">
      <w:pPr>
        <w:rPr>
          <w:rFonts w:ascii="Arial" w:hAnsi="Arial" w:cs="Arial"/>
        </w:rPr>
      </w:pPr>
    </w:p>
    <w:bookmarkEnd w:id="1"/>
    <w:bookmarkEnd w:id="2"/>
    <w:p w14:paraId="63677E2B" w14:textId="77777777" w:rsidR="003974B3" w:rsidRDefault="003974B3" w:rsidP="002B0712">
      <w:pPr>
        <w:rPr>
          <w:rFonts w:ascii="Arial" w:hAnsi="Arial" w:cs="Arial"/>
        </w:rPr>
      </w:pPr>
    </w:p>
    <w:p w14:paraId="14603042" w14:textId="1575F048" w:rsidR="00F25CD0" w:rsidRDefault="00F25CD0" w:rsidP="00F25CD0">
      <w:pPr>
        <w:spacing w:after="160" w:line="259" w:lineRule="auto"/>
        <w:ind w:firstLine="720"/>
        <w:rPr>
          <w:rFonts w:ascii="Arial" w:eastAsia="Calibri" w:hAnsi="Arial"/>
          <w:szCs w:val="22"/>
        </w:rPr>
      </w:pPr>
      <w:r w:rsidRPr="00F25CD0">
        <w:rPr>
          <w:rFonts w:ascii="Arial" w:eastAsia="Calibri" w:hAnsi="Arial"/>
          <w:szCs w:val="22"/>
        </w:rPr>
        <w:t>WHEREAS, criminalizing marijuana</w:t>
      </w:r>
      <w:r w:rsidR="008F5EA1">
        <w:rPr>
          <w:rFonts w:ascii="Arial" w:eastAsia="Calibri" w:hAnsi="Arial"/>
          <w:szCs w:val="22"/>
        </w:rPr>
        <w:t xml:space="preserve"> or cannabis</w:t>
      </w:r>
      <w:r w:rsidRPr="00F25CD0">
        <w:rPr>
          <w:rFonts w:ascii="Arial" w:eastAsia="Calibri" w:hAnsi="Arial"/>
          <w:szCs w:val="22"/>
        </w:rPr>
        <w:t xml:space="preserve"> use has failed to curb its use and</w:t>
      </w:r>
      <w:r w:rsidR="00B620AA">
        <w:rPr>
          <w:rFonts w:ascii="Arial" w:eastAsia="Calibri" w:hAnsi="Arial"/>
          <w:szCs w:val="22"/>
        </w:rPr>
        <w:t>, according to a Gallup survey conducted in July 2021,</w:t>
      </w:r>
      <w:r w:rsidRPr="00F25CD0">
        <w:rPr>
          <w:rFonts w:ascii="Arial" w:eastAsia="Calibri" w:hAnsi="Arial"/>
          <w:szCs w:val="22"/>
        </w:rPr>
        <w:t xml:space="preserve"> </w:t>
      </w:r>
      <w:r w:rsidR="00B620AA">
        <w:rPr>
          <w:rFonts w:ascii="Arial" w:eastAsia="Calibri" w:hAnsi="Arial"/>
          <w:szCs w:val="22"/>
        </w:rPr>
        <w:t xml:space="preserve">49 percent of </w:t>
      </w:r>
      <w:r w:rsidRPr="00F25CD0">
        <w:rPr>
          <w:rFonts w:ascii="Arial" w:eastAsia="Calibri" w:hAnsi="Arial"/>
          <w:szCs w:val="22"/>
        </w:rPr>
        <w:t>Americans say they have used marijuana</w:t>
      </w:r>
      <w:r w:rsidR="00B620AA">
        <w:rPr>
          <w:rFonts w:ascii="Arial" w:eastAsia="Calibri" w:hAnsi="Arial"/>
          <w:szCs w:val="22"/>
        </w:rPr>
        <w:t>, up from 30 percent in 1985</w:t>
      </w:r>
      <w:r w:rsidRPr="00F25CD0">
        <w:rPr>
          <w:rFonts w:ascii="Arial" w:eastAsia="Calibri" w:hAnsi="Arial"/>
          <w:szCs w:val="22"/>
        </w:rPr>
        <w:t>; and</w:t>
      </w:r>
    </w:p>
    <w:p w14:paraId="49281863" w14:textId="63233474" w:rsidR="00F25CD0" w:rsidRPr="00F25CD0" w:rsidRDefault="00F25CD0" w:rsidP="00F25CD0">
      <w:pPr>
        <w:spacing w:after="160" w:line="259" w:lineRule="auto"/>
        <w:ind w:firstLine="720"/>
        <w:rPr>
          <w:rFonts w:ascii="Arial" w:eastAsia="Calibri" w:hAnsi="Arial"/>
          <w:szCs w:val="22"/>
        </w:rPr>
      </w:pPr>
      <w:r w:rsidRPr="00F25CD0">
        <w:rPr>
          <w:rFonts w:ascii="Arial" w:eastAsia="Calibri" w:hAnsi="Arial"/>
          <w:szCs w:val="22"/>
        </w:rPr>
        <w:t xml:space="preserve">WHEREAS, </w:t>
      </w:r>
      <w:r w:rsidR="00B620AA">
        <w:rPr>
          <w:rFonts w:ascii="Arial" w:eastAsia="Calibri" w:hAnsi="Arial"/>
          <w:szCs w:val="22"/>
        </w:rPr>
        <w:t>in a Marquette University Law School poll conducted in February 2022, 61</w:t>
      </w:r>
      <w:r w:rsidRPr="00F25CD0">
        <w:rPr>
          <w:rFonts w:ascii="Arial" w:eastAsia="Calibri" w:hAnsi="Arial"/>
          <w:szCs w:val="22"/>
        </w:rPr>
        <w:t xml:space="preserve"> percent of Wisconsinites said that marijuana should be </w:t>
      </w:r>
      <w:r w:rsidR="006C2C69">
        <w:rPr>
          <w:rFonts w:ascii="Arial" w:eastAsia="Calibri" w:hAnsi="Arial"/>
          <w:szCs w:val="22"/>
        </w:rPr>
        <w:t>“</w:t>
      </w:r>
      <w:r w:rsidRPr="00F25CD0">
        <w:rPr>
          <w:rFonts w:ascii="Arial" w:eastAsia="Calibri" w:hAnsi="Arial"/>
          <w:szCs w:val="22"/>
        </w:rPr>
        <w:t>fully legalized and regulated like alcohol”</w:t>
      </w:r>
      <w:r w:rsidR="00FB1425">
        <w:rPr>
          <w:rFonts w:ascii="Arial" w:eastAsia="Calibri" w:hAnsi="Arial"/>
          <w:szCs w:val="22"/>
        </w:rPr>
        <w:t>,</w:t>
      </w:r>
      <w:r w:rsidRPr="00F25CD0">
        <w:rPr>
          <w:rFonts w:ascii="Arial" w:eastAsia="Calibri" w:hAnsi="Arial"/>
          <w:szCs w:val="22"/>
        </w:rPr>
        <w:t xml:space="preserve"> and recent polls show a majority of Americans favor legalization of adult recreational use of marijuana; and</w:t>
      </w:r>
    </w:p>
    <w:p w14:paraId="223C6196" w14:textId="1C09AC24" w:rsidR="00F25CD0" w:rsidRPr="00F25CD0" w:rsidRDefault="00F25CD0" w:rsidP="00F25CD0">
      <w:pPr>
        <w:spacing w:after="160" w:line="259" w:lineRule="auto"/>
        <w:ind w:firstLine="720"/>
        <w:rPr>
          <w:rFonts w:ascii="Arial" w:eastAsia="Calibri" w:hAnsi="Arial"/>
          <w:szCs w:val="22"/>
        </w:rPr>
      </w:pPr>
      <w:r w:rsidRPr="00F25CD0">
        <w:rPr>
          <w:rFonts w:ascii="Arial" w:eastAsia="Calibri" w:hAnsi="Arial"/>
          <w:szCs w:val="22"/>
        </w:rPr>
        <w:t xml:space="preserve">WHEREAS, the </w:t>
      </w:r>
      <w:r w:rsidR="00FB1425">
        <w:rPr>
          <w:rFonts w:ascii="Arial" w:eastAsia="Calibri" w:hAnsi="Arial"/>
          <w:szCs w:val="22"/>
        </w:rPr>
        <w:t xml:space="preserve">Wisconsin </w:t>
      </w:r>
      <w:r w:rsidRPr="00F25CD0">
        <w:rPr>
          <w:rFonts w:ascii="Arial" w:eastAsia="Calibri" w:hAnsi="Arial"/>
          <w:szCs w:val="22"/>
        </w:rPr>
        <w:t xml:space="preserve">State Legislature has failed to act on legislation to legalize and regulate marijuana and has not </w:t>
      </w:r>
      <w:r w:rsidR="008F5EA1">
        <w:rPr>
          <w:rFonts w:ascii="Arial" w:eastAsia="Calibri" w:hAnsi="Arial"/>
          <w:szCs w:val="22"/>
        </w:rPr>
        <w:t>even permitted medical cannabis</w:t>
      </w:r>
      <w:r w:rsidR="005E7A6A">
        <w:rPr>
          <w:rFonts w:ascii="Arial" w:eastAsia="Calibri" w:hAnsi="Arial"/>
          <w:szCs w:val="22"/>
        </w:rPr>
        <w:t xml:space="preserve"> (CBD only)</w:t>
      </w:r>
      <w:r w:rsidR="000B1DD4">
        <w:rPr>
          <w:rFonts w:ascii="Arial" w:eastAsia="Calibri" w:hAnsi="Arial"/>
          <w:szCs w:val="22"/>
        </w:rPr>
        <w:t xml:space="preserve"> which 37 other states and the District of Columbia have done; and</w:t>
      </w:r>
      <w:r w:rsidR="008F5EA1">
        <w:rPr>
          <w:rFonts w:ascii="Arial" w:eastAsia="Calibri" w:hAnsi="Arial"/>
          <w:szCs w:val="22"/>
        </w:rPr>
        <w:t xml:space="preserve"> </w:t>
      </w:r>
    </w:p>
    <w:p w14:paraId="0178863F" w14:textId="34776976" w:rsidR="00F25CD0" w:rsidRPr="00F25CD0" w:rsidRDefault="00F25CD0" w:rsidP="00F25CD0">
      <w:pPr>
        <w:spacing w:after="160" w:line="259" w:lineRule="auto"/>
        <w:ind w:firstLine="720"/>
        <w:rPr>
          <w:rFonts w:ascii="Arial" w:eastAsia="Calibri" w:hAnsi="Arial"/>
          <w:szCs w:val="22"/>
        </w:rPr>
      </w:pPr>
      <w:r w:rsidRPr="00F25CD0">
        <w:rPr>
          <w:rFonts w:ascii="Arial" w:eastAsia="Calibri" w:hAnsi="Arial"/>
          <w:szCs w:val="22"/>
        </w:rPr>
        <w:t>WHEREAS, a</w:t>
      </w:r>
      <w:r w:rsidR="000B1DD4">
        <w:rPr>
          <w:rFonts w:ascii="Arial" w:eastAsia="Calibri" w:hAnsi="Arial"/>
          <w:szCs w:val="22"/>
        </w:rPr>
        <w:t xml:space="preserve"> study in late 2021 by municipal bond strategists at Barclays and reported in Fortune Magazine suggests that by 2030 states that have legalized </w:t>
      </w:r>
      <w:r w:rsidR="004F0EF9">
        <w:rPr>
          <w:rFonts w:ascii="Arial" w:eastAsia="Calibri" w:hAnsi="Arial"/>
          <w:szCs w:val="22"/>
        </w:rPr>
        <w:t>marijuana and regulate its sale may r</w:t>
      </w:r>
      <w:r w:rsidR="000B1DD4">
        <w:rPr>
          <w:rFonts w:ascii="Arial" w:eastAsia="Calibri" w:hAnsi="Arial"/>
          <w:szCs w:val="22"/>
        </w:rPr>
        <w:t xml:space="preserve">ealize $12 billion per year in tax revenue to help balance their budgets; and </w:t>
      </w:r>
    </w:p>
    <w:p w14:paraId="27599089" w14:textId="3DF68E2F" w:rsidR="00ED294E" w:rsidRDefault="00F25CD0" w:rsidP="00F25CD0">
      <w:pPr>
        <w:spacing w:after="160" w:line="259" w:lineRule="auto"/>
        <w:ind w:firstLine="720"/>
        <w:rPr>
          <w:rFonts w:ascii="Arial" w:eastAsia="Calibri" w:hAnsi="Arial"/>
          <w:szCs w:val="22"/>
        </w:rPr>
      </w:pPr>
      <w:r w:rsidRPr="00F25CD0">
        <w:rPr>
          <w:rFonts w:ascii="Arial" w:eastAsia="Calibri" w:hAnsi="Arial"/>
          <w:szCs w:val="22"/>
        </w:rPr>
        <w:t xml:space="preserve">WHEREAS, </w:t>
      </w:r>
      <w:r w:rsidR="00ED294E">
        <w:rPr>
          <w:rFonts w:ascii="Arial" w:eastAsia="Calibri" w:hAnsi="Arial"/>
          <w:szCs w:val="22"/>
        </w:rPr>
        <w:t xml:space="preserve">nineteen states and the District of Columbia </w:t>
      </w:r>
      <w:r w:rsidRPr="00F25CD0">
        <w:rPr>
          <w:rFonts w:ascii="Arial" w:eastAsia="Calibri" w:hAnsi="Arial"/>
          <w:szCs w:val="22"/>
        </w:rPr>
        <w:t xml:space="preserve">have </w:t>
      </w:r>
      <w:r w:rsidR="00ED294E">
        <w:rPr>
          <w:rFonts w:ascii="Arial" w:eastAsia="Calibri" w:hAnsi="Arial"/>
          <w:szCs w:val="22"/>
        </w:rPr>
        <w:t xml:space="preserve">decriminalized </w:t>
      </w:r>
      <w:r w:rsidRPr="00F25CD0">
        <w:rPr>
          <w:rFonts w:ascii="Arial" w:eastAsia="Calibri" w:hAnsi="Arial"/>
          <w:szCs w:val="22"/>
        </w:rPr>
        <w:t>legalized adult personal use of marijuana</w:t>
      </w:r>
      <w:r w:rsidR="00ED294E">
        <w:rPr>
          <w:rFonts w:ascii="Arial" w:eastAsia="Calibri" w:hAnsi="Arial"/>
          <w:szCs w:val="22"/>
        </w:rPr>
        <w:t xml:space="preserve"> wh</w:t>
      </w:r>
      <w:r w:rsidR="008726C4">
        <w:rPr>
          <w:rFonts w:ascii="Arial" w:eastAsia="Calibri" w:hAnsi="Arial"/>
          <w:szCs w:val="22"/>
        </w:rPr>
        <w:t xml:space="preserve">ile in other jurisdictions </w:t>
      </w:r>
      <w:r w:rsidR="00ED294E">
        <w:rPr>
          <w:rFonts w:ascii="Arial" w:eastAsia="Calibri" w:hAnsi="Arial"/>
          <w:szCs w:val="22"/>
        </w:rPr>
        <w:t>enforcement often results in charges disproportionately to people of color and young people; and</w:t>
      </w:r>
    </w:p>
    <w:p w14:paraId="4F6DA500" w14:textId="77777777" w:rsidR="0089120C" w:rsidRDefault="0089120C" w:rsidP="0089120C">
      <w:pPr>
        <w:ind w:firstLine="720"/>
        <w:rPr>
          <w:rFonts w:ascii="Arial" w:eastAsia="Calibri" w:hAnsi="Arial"/>
          <w:szCs w:val="22"/>
        </w:rPr>
      </w:pPr>
      <w:r w:rsidRPr="00F25CD0">
        <w:rPr>
          <w:rFonts w:ascii="Arial" w:eastAsia="Calibri" w:hAnsi="Arial"/>
          <w:szCs w:val="22"/>
        </w:rPr>
        <w:t xml:space="preserve">WHEREAS, the time law enforcement spends enforcing existing marijuana laws and ordinances negatively </w:t>
      </w:r>
      <w:r>
        <w:rPr>
          <w:rFonts w:ascii="Arial" w:eastAsia="Calibri" w:hAnsi="Arial"/>
          <w:szCs w:val="22"/>
        </w:rPr>
        <w:t>impacts</w:t>
      </w:r>
      <w:r w:rsidRPr="00F25CD0">
        <w:rPr>
          <w:rFonts w:ascii="Arial" w:eastAsia="Calibri" w:hAnsi="Arial"/>
          <w:szCs w:val="22"/>
        </w:rPr>
        <w:t xml:space="preserve"> the time available to solve more serious crimes and apprehend more dangerous criminals; and</w:t>
      </w:r>
    </w:p>
    <w:p w14:paraId="3C5FDCF9" w14:textId="77777777" w:rsidR="0089120C" w:rsidRPr="00F25CD0" w:rsidRDefault="0089120C" w:rsidP="0089120C">
      <w:pPr>
        <w:ind w:firstLine="720"/>
        <w:rPr>
          <w:rFonts w:ascii="Arial" w:eastAsia="Calibri" w:hAnsi="Arial"/>
          <w:szCs w:val="22"/>
        </w:rPr>
      </w:pPr>
    </w:p>
    <w:p w14:paraId="44AD0C7B" w14:textId="77777777" w:rsidR="0089120C" w:rsidRPr="00F25CD0" w:rsidRDefault="0089120C" w:rsidP="0089120C">
      <w:pPr>
        <w:spacing w:after="160" w:line="259" w:lineRule="auto"/>
        <w:ind w:firstLine="720"/>
        <w:rPr>
          <w:rFonts w:ascii="Arial" w:eastAsia="Calibri" w:hAnsi="Arial"/>
          <w:szCs w:val="22"/>
        </w:rPr>
      </w:pPr>
      <w:r w:rsidRPr="00F25CD0">
        <w:rPr>
          <w:rFonts w:ascii="Arial" w:eastAsia="Calibri" w:hAnsi="Arial"/>
          <w:szCs w:val="22"/>
        </w:rPr>
        <w:t xml:space="preserve">WHEREAS, felony second offense marijuana charges are disproportionately issued against </w:t>
      </w:r>
      <w:proofErr w:type="gramStart"/>
      <w:r w:rsidRPr="00F25CD0">
        <w:rPr>
          <w:rFonts w:ascii="Arial" w:eastAsia="Calibri" w:hAnsi="Arial"/>
          <w:szCs w:val="22"/>
        </w:rPr>
        <w:t>African-American</w:t>
      </w:r>
      <w:proofErr w:type="gramEnd"/>
      <w:r w:rsidRPr="00F25CD0">
        <w:rPr>
          <w:rFonts w:ascii="Arial" w:eastAsia="Calibri" w:hAnsi="Arial"/>
          <w:szCs w:val="22"/>
        </w:rPr>
        <w:t xml:space="preserve"> males in Milwaukee County, continuing a pattern of racially biased justice system outcomes with lifelong negative impacts on those convicted</w:t>
      </w:r>
      <w:r>
        <w:rPr>
          <w:rFonts w:ascii="Arial" w:eastAsia="Calibri" w:hAnsi="Arial"/>
          <w:szCs w:val="22"/>
        </w:rPr>
        <w:t xml:space="preserve"> and on their families</w:t>
      </w:r>
      <w:r w:rsidRPr="00F25CD0">
        <w:rPr>
          <w:rFonts w:ascii="Arial" w:eastAsia="Calibri" w:hAnsi="Arial"/>
          <w:szCs w:val="22"/>
        </w:rPr>
        <w:t>; and</w:t>
      </w:r>
    </w:p>
    <w:p w14:paraId="59A4BD88" w14:textId="43D4DC48" w:rsidR="001172C5" w:rsidRDefault="00ED294E" w:rsidP="001172C5">
      <w:pPr>
        <w:ind w:firstLine="720"/>
        <w:rPr>
          <w:rFonts w:ascii="Arial" w:eastAsia="Calibri" w:hAnsi="Arial"/>
          <w:szCs w:val="22"/>
        </w:rPr>
      </w:pPr>
      <w:r w:rsidRPr="001172C5">
        <w:rPr>
          <w:rFonts w:ascii="Arial" w:eastAsia="Calibri" w:hAnsi="Arial"/>
          <w:szCs w:val="22"/>
        </w:rPr>
        <w:t xml:space="preserve">WHEREAS, </w:t>
      </w:r>
      <w:r w:rsidR="001172C5">
        <w:rPr>
          <w:rFonts w:ascii="Arial" w:eastAsia="Calibri" w:hAnsi="Arial"/>
          <w:szCs w:val="22"/>
        </w:rPr>
        <w:t xml:space="preserve">the </w:t>
      </w:r>
      <w:r>
        <w:rPr>
          <w:rFonts w:ascii="Arial" w:eastAsia="Calibri" w:hAnsi="Arial"/>
          <w:szCs w:val="22"/>
        </w:rPr>
        <w:t xml:space="preserve">Milwaukee County </w:t>
      </w:r>
      <w:r w:rsidR="001172C5">
        <w:rPr>
          <w:rFonts w:ascii="Arial" w:eastAsia="Calibri" w:hAnsi="Arial"/>
          <w:szCs w:val="22"/>
        </w:rPr>
        <w:t xml:space="preserve">Board of Supervisors </w:t>
      </w:r>
      <w:r>
        <w:rPr>
          <w:rFonts w:ascii="Arial" w:eastAsia="Calibri" w:hAnsi="Arial"/>
          <w:szCs w:val="22"/>
        </w:rPr>
        <w:t>adopted File No.</w:t>
      </w:r>
      <w:r w:rsidR="001172C5" w:rsidRPr="001172C5">
        <w:rPr>
          <w:rFonts w:ascii="Arial" w:eastAsia="Calibri" w:hAnsi="Arial"/>
          <w:szCs w:val="22"/>
        </w:rPr>
        <w:t xml:space="preserve"> 21-208 in March 2021</w:t>
      </w:r>
      <w:r w:rsidRPr="001172C5">
        <w:rPr>
          <w:rFonts w:ascii="Arial" w:eastAsia="Calibri" w:hAnsi="Arial"/>
          <w:szCs w:val="22"/>
        </w:rPr>
        <w:t xml:space="preserve"> which amended Chapter 24.02 of the Milwaukee County Code of General Ordinances to reduce the fine for marijuana possession and possession and delivery of drug paraphernalia to no more than one dollar; and</w:t>
      </w:r>
    </w:p>
    <w:p w14:paraId="462019A0" w14:textId="59A096FD" w:rsidR="001172C5" w:rsidRDefault="001172C5" w:rsidP="001172C5">
      <w:pPr>
        <w:ind w:firstLine="720"/>
        <w:rPr>
          <w:rFonts w:ascii="Arial" w:eastAsia="Calibri" w:hAnsi="Arial"/>
          <w:szCs w:val="22"/>
        </w:rPr>
      </w:pPr>
      <w:r>
        <w:rPr>
          <w:rFonts w:ascii="Arial" w:eastAsia="Calibri" w:hAnsi="Arial"/>
          <w:szCs w:val="22"/>
        </w:rPr>
        <w:lastRenderedPageBreak/>
        <w:t xml:space="preserve">WHEREAS, the Milwaukee County Board of Supervisors adopted File No. 21-306 in April 2021 calling on the State of Wisconsin to </w:t>
      </w:r>
      <w:r w:rsidRPr="001172C5">
        <w:rPr>
          <w:rFonts w:ascii="Arial" w:eastAsia="Calibri" w:hAnsi="Arial"/>
          <w:szCs w:val="22"/>
        </w:rPr>
        <w:t>regulate marijuana like alcohol and legali</w:t>
      </w:r>
      <w:r w:rsidR="00950C03">
        <w:rPr>
          <w:rFonts w:ascii="Arial" w:eastAsia="Calibri" w:hAnsi="Arial"/>
          <w:szCs w:val="22"/>
        </w:rPr>
        <w:t>ze</w:t>
      </w:r>
      <w:r w:rsidRPr="001172C5">
        <w:rPr>
          <w:rFonts w:ascii="Arial" w:eastAsia="Calibri" w:hAnsi="Arial"/>
          <w:szCs w:val="22"/>
        </w:rPr>
        <w:t xml:space="preserve"> the recreational use of marijuana in Wisconsin for those aged 21 and older, thereby putting the State in line with many other states in the Union, including neighbors Michigan and Illinois; and</w:t>
      </w:r>
    </w:p>
    <w:p w14:paraId="188A9918" w14:textId="08BC55A4" w:rsidR="001172C5" w:rsidRDefault="001172C5" w:rsidP="001172C5">
      <w:pPr>
        <w:ind w:firstLine="720"/>
        <w:rPr>
          <w:rFonts w:ascii="Arial" w:eastAsia="Calibri" w:hAnsi="Arial"/>
          <w:szCs w:val="22"/>
        </w:rPr>
      </w:pPr>
    </w:p>
    <w:p w14:paraId="1ED2E7A6" w14:textId="2332D777" w:rsidR="001172C5" w:rsidRDefault="001172C5" w:rsidP="001172C5">
      <w:pPr>
        <w:ind w:firstLine="720"/>
        <w:rPr>
          <w:rFonts w:ascii="Arial" w:eastAsia="Calibri" w:hAnsi="Arial"/>
          <w:szCs w:val="22"/>
        </w:rPr>
      </w:pPr>
      <w:r>
        <w:rPr>
          <w:rFonts w:ascii="Arial" w:eastAsia="Calibri" w:hAnsi="Arial"/>
          <w:szCs w:val="22"/>
        </w:rPr>
        <w:t>WHEREAS, in 2018, approximately 70 percent of Milwaukee County voters approved an advisory referendum on the question of whether Wisconsin should legalize marijuana for</w:t>
      </w:r>
      <w:r w:rsidRPr="001172C5">
        <w:rPr>
          <w:rFonts w:ascii="Arial" w:eastAsia="Calibri" w:hAnsi="Arial"/>
          <w:szCs w:val="22"/>
        </w:rPr>
        <w:t xml:space="preserve"> adults 21 years of age and older to engage in the personal use of marijuana, while also regulating commercial marijuana-related activities, and imposing a tax on the sale of marijuana</w:t>
      </w:r>
      <w:r>
        <w:rPr>
          <w:rFonts w:ascii="Arial" w:eastAsia="Calibri" w:hAnsi="Arial"/>
          <w:szCs w:val="22"/>
        </w:rPr>
        <w:t>; and</w:t>
      </w:r>
    </w:p>
    <w:p w14:paraId="7080AA4C" w14:textId="41E6BB55" w:rsidR="001172C5" w:rsidRDefault="001172C5" w:rsidP="001172C5">
      <w:pPr>
        <w:rPr>
          <w:rFonts w:ascii="Arial" w:eastAsia="Calibri" w:hAnsi="Arial"/>
          <w:szCs w:val="22"/>
        </w:rPr>
      </w:pPr>
    </w:p>
    <w:p w14:paraId="4BAD8E69" w14:textId="0E995B60" w:rsidR="001172C5" w:rsidRPr="001172C5" w:rsidRDefault="001172C5" w:rsidP="001172C5">
      <w:pPr>
        <w:rPr>
          <w:rFonts w:ascii="Arial" w:eastAsia="Calibri" w:hAnsi="Arial"/>
          <w:szCs w:val="22"/>
        </w:rPr>
      </w:pPr>
      <w:r>
        <w:rPr>
          <w:rFonts w:ascii="Arial" w:eastAsia="Calibri" w:hAnsi="Arial"/>
          <w:szCs w:val="22"/>
        </w:rPr>
        <w:tab/>
        <w:t>WHEREAS, it is important</w:t>
      </w:r>
      <w:r w:rsidR="0089120C">
        <w:rPr>
          <w:rFonts w:ascii="Arial" w:eastAsia="Calibri" w:hAnsi="Arial"/>
          <w:szCs w:val="22"/>
        </w:rPr>
        <w:t xml:space="preserve"> that Milwaukee County ask its voters the same question </w:t>
      </w:r>
      <w:r w:rsidR="008726C4">
        <w:rPr>
          <w:rFonts w:ascii="Arial" w:eastAsia="Calibri" w:hAnsi="Arial"/>
          <w:szCs w:val="22"/>
        </w:rPr>
        <w:t xml:space="preserve">again </w:t>
      </w:r>
      <w:r w:rsidR="0089120C">
        <w:rPr>
          <w:rFonts w:ascii="Arial" w:eastAsia="Calibri" w:hAnsi="Arial"/>
          <w:szCs w:val="22"/>
        </w:rPr>
        <w:t>to better understand how people’s views are changing on the issue of marijuana legalization, and to help put a stop to the waste of public resources toward enforcement which unjustly affects people of color; now, therefore,</w:t>
      </w:r>
    </w:p>
    <w:p w14:paraId="3C2E2522" w14:textId="1C0D847A" w:rsidR="001172C5" w:rsidRDefault="001172C5" w:rsidP="001172C5">
      <w:pPr>
        <w:ind w:firstLine="720"/>
        <w:rPr>
          <w:rFonts w:ascii="Arial" w:eastAsia="Calibri" w:hAnsi="Arial"/>
          <w:szCs w:val="22"/>
        </w:rPr>
      </w:pPr>
    </w:p>
    <w:p w14:paraId="24752A95" w14:textId="77777777" w:rsidR="007A0C76" w:rsidRPr="000944DC" w:rsidRDefault="005A0333" w:rsidP="002B0712">
      <w:pPr>
        <w:ind w:firstLine="720"/>
        <w:rPr>
          <w:rFonts w:ascii="Arial" w:hAnsi="Arial" w:cs="Arial"/>
        </w:rPr>
      </w:pPr>
      <w:r w:rsidRPr="000944DC">
        <w:rPr>
          <w:rFonts w:ascii="Arial" w:hAnsi="Arial" w:cs="Arial"/>
        </w:rPr>
        <w:t xml:space="preserve">BE IT </w:t>
      </w:r>
      <w:r w:rsidR="007A0C76" w:rsidRPr="000944DC">
        <w:rPr>
          <w:rFonts w:ascii="Arial" w:hAnsi="Arial" w:cs="Arial"/>
        </w:rPr>
        <w:t>RESOLVED, by the County Board of Supervisors of Milwaukee County, Wisconsin, as follows:</w:t>
      </w:r>
    </w:p>
    <w:p w14:paraId="3DEF5BAA" w14:textId="77777777" w:rsidR="00A579AF" w:rsidRPr="000944DC" w:rsidRDefault="00A579AF" w:rsidP="002B0712">
      <w:pPr>
        <w:rPr>
          <w:rFonts w:ascii="Arial" w:hAnsi="Arial" w:cs="Arial"/>
        </w:rPr>
      </w:pPr>
    </w:p>
    <w:p w14:paraId="229C51D1" w14:textId="6C27ECA3" w:rsidR="00F25CD0" w:rsidRPr="00F25CD0" w:rsidRDefault="00F25CD0" w:rsidP="00F25CD0">
      <w:pPr>
        <w:spacing w:after="160" w:line="259" w:lineRule="auto"/>
        <w:ind w:firstLine="720"/>
        <w:rPr>
          <w:rFonts w:ascii="Arial" w:eastAsia="Calibri" w:hAnsi="Arial"/>
          <w:szCs w:val="22"/>
        </w:rPr>
      </w:pPr>
      <w:r w:rsidRPr="00F25CD0">
        <w:rPr>
          <w:rFonts w:ascii="Arial" w:eastAsia="Calibri" w:hAnsi="Arial"/>
          <w:szCs w:val="22"/>
          <w:u w:val="single"/>
        </w:rPr>
        <w:t>Section 1. Referendum Election.</w:t>
      </w:r>
      <w:r w:rsidRPr="00F25CD0">
        <w:rPr>
          <w:rFonts w:ascii="Arial" w:eastAsia="Calibri" w:hAnsi="Arial"/>
          <w:szCs w:val="22"/>
        </w:rPr>
        <w:t xml:space="preserve"> The County Clerk is hereby directed to call an advisory referendum election to be held in the County at the regularly scheduled election to be held November </w:t>
      </w:r>
      <w:r w:rsidR="0089120C">
        <w:rPr>
          <w:rFonts w:ascii="Arial" w:eastAsia="Calibri" w:hAnsi="Arial"/>
          <w:szCs w:val="22"/>
        </w:rPr>
        <w:t>8</w:t>
      </w:r>
      <w:r w:rsidRPr="00F25CD0">
        <w:rPr>
          <w:rFonts w:ascii="Arial" w:eastAsia="Calibri" w:hAnsi="Arial"/>
          <w:szCs w:val="22"/>
        </w:rPr>
        <w:t>, 20</w:t>
      </w:r>
      <w:r w:rsidR="0089120C">
        <w:rPr>
          <w:rFonts w:ascii="Arial" w:eastAsia="Calibri" w:hAnsi="Arial"/>
          <w:szCs w:val="22"/>
        </w:rPr>
        <w:t>22</w:t>
      </w:r>
      <w:r w:rsidRPr="00F25CD0">
        <w:rPr>
          <w:rFonts w:ascii="Arial" w:eastAsia="Calibri" w:hAnsi="Arial"/>
          <w:szCs w:val="22"/>
        </w:rPr>
        <w:t>, for the purpose of submitting to the qualified electors of the county the proposition of whether the State of Wisconsin should legalize and regulate the recreational use of marijuana in Wisconsin. The referendum shall be held, noticed, and conducted following the procedures set forth in Section 59.52 (25) of the Wisconsin Statutes.</w:t>
      </w:r>
    </w:p>
    <w:p w14:paraId="61FB7639" w14:textId="77777777" w:rsidR="00F25CD0" w:rsidRDefault="00F25CD0" w:rsidP="00F25CD0">
      <w:pPr>
        <w:spacing w:after="160" w:line="259" w:lineRule="auto"/>
        <w:ind w:firstLine="720"/>
        <w:rPr>
          <w:rFonts w:ascii="Arial" w:eastAsia="Calibri" w:hAnsi="Arial"/>
          <w:szCs w:val="22"/>
        </w:rPr>
      </w:pPr>
      <w:r w:rsidRPr="00F25CD0">
        <w:rPr>
          <w:rFonts w:ascii="Arial" w:eastAsia="Calibri" w:hAnsi="Arial"/>
          <w:szCs w:val="22"/>
          <w:u w:val="single"/>
        </w:rPr>
        <w:t>Section 2. Official Referendum Ballot Form.</w:t>
      </w:r>
      <w:r w:rsidRPr="00F25CD0">
        <w:rPr>
          <w:rFonts w:ascii="Arial" w:eastAsia="Calibri" w:hAnsi="Arial"/>
          <w:szCs w:val="22"/>
        </w:rPr>
        <w:t xml:space="preserve"> The ballot to be used at the referendum election shall be prepared in accordance with the provisions of Sections 5.64 (2) and 7.08 (1)(a) of the Wisconsin Statutes. The ballot shall be substantially in the form attached hereto as </w:t>
      </w:r>
      <w:r w:rsidR="006C2C69">
        <w:rPr>
          <w:rFonts w:ascii="Arial" w:eastAsia="Calibri" w:hAnsi="Arial"/>
          <w:szCs w:val="22"/>
        </w:rPr>
        <w:t>E</w:t>
      </w:r>
      <w:r w:rsidRPr="00F25CD0">
        <w:rPr>
          <w:rFonts w:ascii="Arial" w:eastAsia="Calibri" w:hAnsi="Arial"/>
          <w:szCs w:val="22"/>
        </w:rPr>
        <w:t>xhibit A.</w:t>
      </w:r>
    </w:p>
    <w:p w14:paraId="06F3447F" w14:textId="77777777" w:rsidR="00FA0DAA" w:rsidRDefault="00FA0DAA" w:rsidP="00FA0DAA">
      <w:pPr>
        <w:spacing w:after="160" w:line="259" w:lineRule="auto"/>
        <w:rPr>
          <w:rFonts w:ascii="Arial" w:eastAsia="Calibri" w:hAnsi="Arial"/>
          <w:szCs w:val="22"/>
        </w:rPr>
      </w:pPr>
      <w:r>
        <w:rPr>
          <w:rFonts w:ascii="Arial" w:eastAsia="Calibri" w:hAnsi="Arial"/>
          <w:szCs w:val="22"/>
        </w:rPr>
        <w:t>; and</w:t>
      </w:r>
    </w:p>
    <w:p w14:paraId="34CE0422" w14:textId="083A0444" w:rsidR="0089120C" w:rsidRDefault="00FA0DAA" w:rsidP="0089120C">
      <w:pPr>
        <w:pStyle w:val="ListParagraph"/>
        <w:ind w:left="0"/>
      </w:pPr>
      <w:r>
        <w:rPr>
          <w:szCs w:val="22"/>
        </w:rPr>
        <w:tab/>
      </w:r>
      <w:r w:rsidR="0089120C">
        <w:t>BE IT FURTHER RESOLVED, the Milwaukee County Board of Supervisors hereby authorizes the Office of Strategy, Performance and Budget and the Office of the Comptroller to process an appropriation transfer of $</w:t>
      </w:r>
      <w:r w:rsidR="0089120C" w:rsidRPr="00C1768F">
        <w:t>15,000</w:t>
      </w:r>
      <w:r w:rsidR="0089120C">
        <w:t xml:space="preserve"> from Org. Unit 1800-1945 – Appropriation for Contingencies to appropriate accounts in Org. Unit 3270 – County Clerk Election Commission Division to offset the cost of the referendum</w:t>
      </w:r>
      <w:r w:rsidR="008726C4">
        <w:t xml:space="preserve"> in</w:t>
      </w:r>
      <w:r w:rsidR="0089120C">
        <w:t xml:space="preserve"> 2022.</w:t>
      </w:r>
    </w:p>
    <w:p w14:paraId="3F9287ED" w14:textId="77777777" w:rsidR="0089120C" w:rsidRDefault="00FA0DAA" w:rsidP="008726C4">
      <w:pPr>
        <w:suppressLineNumbers/>
        <w:spacing w:after="160" w:line="259" w:lineRule="auto"/>
        <w:rPr>
          <w:rFonts w:ascii="Arial" w:eastAsia="Calibri" w:hAnsi="Arial"/>
          <w:szCs w:val="22"/>
        </w:rPr>
      </w:pPr>
      <w:r>
        <w:rPr>
          <w:rFonts w:ascii="Arial" w:eastAsia="Calibri" w:hAnsi="Arial"/>
          <w:szCs w:val="22"/>
        </w:rPr>
        <w:tab/>
      </w:r>
    </w:p>
    <w:p w14:paraId="1A4EE18D" w14:textId="77777777" w:rsidR="0089120C" w:rsidRDefault="0089120C" w:rsidP="008726C4">
      <w:pPr>
        <w:suppressLineNumbers/>
        <w:spacing w:after="160" w:line="259" w:lineRule="auto"/>
        <w:rPr>
          <w:rFonts w:ascii="Arial" w:eastAsia="Calibri" w:hAnsi="Arial"/>
          <w:szCs w:val="22"/>
        </w:rPr>
      </w:pPr>
    </w:p>
    <w:p w14:paraId="7FBA2E26" w14:textId="77777777" w:rsidR="0089120C" w:rsidRDefault="0089120C" w:rsidP="008726C4">
      <w:pPr>
        <w:suppressLineNumbers/>
        <w:spacing w:after="160" w:line="259" w:lineRule="auto"/>
        <w:rPr>
          <w:rFonts w:ascii="Arial" w:eastAsia="Calibri" w:hAnsi="Arial"/>
          <w:szCs w:val="22"/>
        </w:rPr>
      </w:pPr>
    </w:p>
    <w:p w14:paraId="0BCEDBDD" w14:textId="77777777" w:rsidR="0089120C" w:rsidRDefault="0089120C" w:rsidP="008726C4">
      <w:pPr>
        <w:suppressLineNumbers/>
        <w:spacing w:after="160" w:line="259" w:lineRule="auto"/>
        <w:rPr>
          <w:rFonts w:ascii="Arial" w:eastAsia="Calibri" w:hAnsi="Arial"/>
          <w:szCs w:val="22"/>
        </w:rPr>
      </w:pPr>
    </w:p>
    <w:p w14:paraId="04FEF1F2" w14:textId="77777777" w:rsidR="0089120C" w:rsidRDefault="0089120C" w:rsidP="0089120C">
      <w:pPr>
        <w:suppressLineNumbers/>
        <w:spacing w:after="160" w:line="259" w:lineRule="auto"/>
        <w:rPr>
          <w:rFonts w:ascii="Calibri" w:eastAsia="Calibri" w:hAnsi="Calibri"/>
          <w:b/>
          <w:sz w:val="28"/>
          <w:szCs w:val="28"/>
        </w:rPr>
      </w:pPr>
      <w:r>
        <w:rPr>
          <w:rFonts w:ascii="Calibri" w:eastAsia="Calibri" w:hAnsi="Calibri"/>
          <w:b/>
          <w:sz w:val="28"/>
          <w:szCs w:val="28"/>
        </w:rPr>
        <w:lastRenderedPageBreak/>
        <w:t xml:space="preserve">                                                                </w:t>
      </w:r>
    </w:p>
    <w:p w14:paraId="440F0D9B" w14:textId="48A0149A" w:rsidR="00F25CD0" w:rsidRPr="00F25CD0" w:rsidRDefault="0089120C" w:rsidP="0089120C">
      <w:pPr>
        <w:suppressLineNumbers/>
        <w:spacing w:after="160" w:line="259" w:lineRule="auto"/>
        <w:rPr>
          <w:rFonts w:ascii="Calibri" w:eastAsia="Calibri" w:hAnsi="Calibri"/>
          <w:b/>
          <w:sz w:val="28"/>
          <w:szCs w:val="28"/>
        </w:rPr>
      </w:pPr>
      <w:r>
        <w:rPr>
          <w:rFonts w:ascii="Calibri" w:eastAsia="Calibri" w:hAnsi="Calibri"/>
          <w:b/>
          <w:sz w:val="28"/>
          <w:szCs w:val="28"/>
        </w:rPr>
        <w:t xml:space="preserve">                                                                </w:t>
      </w:r>
      <w:r w:rsidR="00F25CD0" w:rsidRPr="00F25CD0">
        <w:rPr>
          <w:rFonts w:ascii="Calibri" w:eastAsia="Calibri" w:hAnsi="Calibri"/>
          <w:b/>
          <w:sz w:val="28"/>
          <w:szCs w:val="28"/>
        </w:rPr>
        <w:t xml:space="preserve">EXHIBIT </w:t>
      </w:r>
      <w:r w:rsidR="006C2C69">
        <w:rPr>
          <w:rFonts w:ascii="Calibri" w:eastAsia="Calibri" w:hAnsi="Calibri"/>
          <w:b/>
          <w:sz w:val="28"/>
          <w:szCs w:val="28"/>
        </w:rPr>
        <w:t>A</w:t>
      </w:r>
    </w:p>
    <w:p w14:paraId="1089D6BE" w14:textId="77777777" w:rsidR="00F25CD0" w:rsidRPr="00F25CD0" w:rsidRDefault="00F25CD0" w:rsidP="006C2C69">
      <w:pPr>
        <w:suppressLineNumbers/>
        <w:spacing w:after="160" w:line="259" w:lineRule="auto"/>
        <w:jc w:val="center"/>
        <w:rPr>
          <w:rFonts w:ascii="Calibri" w:eastAsia="Calibri" w:hAnsi="Calibri"/>
          <w:b/>
          <w:sz w:val="28"/>
          <w:szCs w:val="28"/>
          <w:u w:val="single"/>
        </w:rPr>
      </w:pPr>
      <w:r w:rsidRPr="00F25CD0">
        <w:rPr>
          <w:rFonts w:ascii="Calibri" w:eastAsia="Calibri" w:hAnsi="Calibri"/>
          <w:sz w:val="22"/>
          <w:szCs w:val="22"/>
          <w:u w:val="single"/>
        </w:rPr>
        <w:t>OFFICIAL REFERENDUM BALLOT</w:t>
      </w:r>
    </w:p>
    <w:p w14:paraId="12FFEBED" w14:textId="536D1E33" w:rsidR="00F25CD0" w:rsidRPr="00F25CD0" w:rsidRDefault="00F25CD0" w:rsidP="006C2C69">
      <w:pPr>
        <w:suppressLineNumbers/>
        <w:spacing w:after="160" w:line="259" w:lineRule="auto"/>
        <w:jc w:val="center"/>
        <w:rPr>
          <w:rFonts w:ascii="Calibri" w:eastAsia="Calibri" w:hAnsi="Calibri"/>
          <w:b/>
          <w:sz w:val="22"/>
          <w:szCs w:val="22"/>
        </w:rPr>
      </w:pPr>
      <w:r w:rsidRPr="00F25CD0">
        <w:rPr>
          <w:rFonts w:ascii="Calibri" w:eastAsia="Calibri" w:hAnsi="Calibri"/>
          <w:b/>
          <w:sz w:val="22"/>
          <w:szCs w:val="22"/>
        </w:rPr>
        <w:t xml:space="preserve">November </w:t>
      </w:r>
      <w:r w:rsidR="0089120C">
        <w:rPr>
          <w:rFonts w:ascii="Calibri" w:eastAsia="Calibri" w:hAnsi="Calibri"/>
          <w:b/>
          <w:sz w:val="22"/>
          <w:szCs w:val="22"/>
        </w:rPr>
        <w:t>8</w:t>
      </w:r>
      <w:r w:rsidRPr="00F25CD0">
        <w:rPr>
          <w:rFonts w:ascii="Calibri" w:eastAsia="Calibri" w:hAnsi="Calibri"/>
          <w:b/>
          <w:sz w:val="22"/>
          <w:szCs w:val="22"/>
        </w:rPr>
        <w:t>, 20</w:t>
      </w:r>
      <w:r w:rsidR="0089120C">
        <w:rPr>
          <w:rFonts w:ascii="Calibri" w:eastAsia="Calibri" w:hAnsi="Calibri"/>
          <w:b/>
          <w:sz w:val="22"/>
          <w:szCs w:val="22"/>
        </w:rPr>
        <w:t>22</w:t>
      </w:r>
    </w:p>
    <w:p w14:paraId="7F0A9FB6" w14:textId="77777777" w:rsidR="00F25CD0" w:rsidRPr="00F25CD0" w:rsidRDefault="00F25CD0" w:rsidP="006C2C69">
      <w:pPr>
        <w:suppressLineNumbers/>
        <w:spacing w:after="160" w:line="259" w:lineRule="auto"/>
        <w:rPr>
          <w:rFonts w:ascii="Calibri" w:eastAsia="Calibri" w:hAnsi="Calibri"/>
          <w:sz w:val="22"/>
          <w:szCs w:val="22"/>
        </w:rPr>
      </w:pPr>
    </w:p>
    <w:p w14:paraId="559E074C" w14:textId="77777777" w:rsidR="00F25CD0" w:rsidRPr="00F25CD0" w:rsidRDefault="00F25CD0" w:rsidP="006C2C69">
      <w:pPr>
        <w:suppressLineNumbers/>
        <w:spacing w:after="160" w:line="259" w:lineRule="auto"/>
        <w:jc w:val="center"/>
        <w:rPr>
          <w:rFonts w:ascii="Calibri" w:eastAsia="Calibri" w:hAnsi="Calibri"/>
          <w:b/>
          <w:sz w:val="28"/>
          <w:szCs w:val="28"/>
        </w:rPr>
      </w:pPr>
      <w:r w:rsidRPr="00F25CD0">
        <w:rPr>
          <w:rFonts w:ascii="Calibri" w:eastAsia="Calibri" w:hAnsi="Calibri"/>
          <w:b/>
          <w:sz w:val="28"/>
          <w:szCs w:val="28"/>
        </w:rPr>
        <w:t>ADVISORY REFERENDUM</w:t>
      </w:r>
    </w:p>
    <w:p w14:paraId="2A8AC3F4" w14:textId="77777777" w:rsidR="00F25CD0" w:rsidRPr="00F25CD0" w:rsidRDefault="00F25CD0" w:rsidP="006C2C69">
      <w:pPr>
        <w:suppressLineNumbers/>
        <w:spacing w:after="160" w:line="259" w:lineRule="auto"/>
        <w:rPr>
          <w:rFonts w:ascii="Calibri" w:eastAsia="Calibri" w:hAnsi="Calibri"/>
          <w:sz w:val="22"/>
          <w:szCs w:val="22"/>
        </w:rPr>
      </w:pPr>
    </w:p>
    <w:tbl>
      <w:tblPr>
        <w:tblW w:w="9742" w:type="dxa"/>
        <w:tblCellMar>
          <w:top w:w="15" w:type="dxa"/>
          <w:left w:w="15" w:type="dxa"/>
          <w:bottom w:w="15" w:type="dxa"/>
          <w:right w:w="15" w:type="dxa"/>
        </w:tblCellMar>
        <w:tblLook w:val="04A0" w:firstRow="1" w:lastRow="0" w:firstColumn="1" w:lastColumn="0" w:noHBand="0" w:noVBand="1"/>
      </w:tblPr>
      <w:tblGrid>
        <w:gridCol w:w="9742"/>
      </w:tblGrid>
      <w:tr w:rsidR="00F25CD0" w:rsidRPr="00F25CD0" w14:paraId="3475BF72" w14:textId="77777777" w:rsidTr="006C2C69">
        <w:trPr>
          <w:trHeight w:val="1465"/>
        </w:trPr>
        <w:tc>
          <w:tcPr>
            <w:tcW w:w="0" w:type="auto"/>
            <w:tcBorders>
              <w:top w:val="nil"/>
              <w:left w:val="nil"/>
              <w:bottom w:val="nil"/>
              <w:right w:val="nil"/>
            </w:tcBorders>
            <w:shd w:val="clear" w:color="auto" w:fill="auto"/>
            <w:tcMar>
              <w:top w:w="60" w:type="dxa"/>
              <w:left w:w="150" w:type="dxa"/>
              <w:bottom w:w="60" w:type="dxa"/>
              <w:right w:w="150" w:type="dxa"/>
            </w:tcMar>
            <w:hideMark/>
          </w:tcPr>
          <w:p w14:paraId="288C3D36" w14:textId="77777777" w:rsidR="00F25CD0" w:rsidRPr="00F25CD0" w:rsidRDefault="00F25CD0" w:rsidP="00F25CD0">
            <w:pPr>
              <w:rPr>
                <w:rFonts w:ascii="Calibri" w:eastAsia="Calibri" w:hAnsi="Calibri"/>
                <w:sz w:val="22"/>
                <w:szCs w:val="22"/>
              </w:rPr>
            </w:pPr>
            <w:bookmarkStart w:id="3" w:name="_Hlk511811622"/>
            <w:bookmarkStart w:id="4" w:name="_Hlk106609534"/>
            <w:r w:rsidRPr="00F25CD0">
              <w:rPr>
                <w:rFonts w:ascii="Calibri" w:eastAsia="Calibri" w:hAnsi="Calibri"/>
                <w:sz w:val="22"/>
                <w:szCs w:val="22"/>
              </w:rPr>
              <w:t>Do you favor allowing adults 21 years of age and older to engage in the personal use of marijuana,</w:t>
            </w:r>
            <w:r w:rsidR="00D75225">
              <w:rPr>
                <w:rFonts w:ascii="Calibri" w:eastAsia="Calibri" w:hAnsi="Calibri"/>
                <w:sz w:val="22"/>
                <w:szCs w:val="22"/>
              </w:rPr>
              <w:t xml:space="preserve"> while also</w:t>
            </w:r>
            <w:r w:rsidRPr="00F25CD0">
              <w:rPr>
                <w:rFonts w:ascii="Calibri" w:eastAsia="Calibri" w:hAnsi="Calibri"/>
                <w:sz w:val="22"/>
                <w:szCs w:val="22"/>
              </w:rPr>
              <w:t xml:space="preserve"> regulating commercial marijuana-related activities</w:t>
            </w:r>
            <w:r w:rsidR="00A51E9F">
              <w:rPr>
                <w:rFonts w:ascii="Calibri" w:eastAsia="Calibri" w:hAnsi="Calibri"/>
                <w:sz w:val="22"/>
                <w:szCs w:val="22"/>
              </w:rPr>
              <w:t>,</w:t>
            </w:r>
            <w:r w:rsidRPr="00F25CD0">
              <w:rPr>
                <w:rFonts w:ascii="Calibri" w:eastAsia="Calibri" w:hAnsi="Calibri"/>
                <w:sz w:val="22"/>
                <w:szCs w:val="22"/>
              </w:rPr>
              <w:t xml:space="preserve"> and imposing a tax on the sale of marijuana?</w:t>
            </w:r>
            <w:bookmarkEnd w:id="3"/>
          </w:p>
          <w:bookmarkEnd w:id="4"/>
          <w:p w14:paraId="271504BB" w14:textId="59C3BA08" w:rsidR="00F25CD0" w:rsidRPr="00F25CD0" w:rsidRDefault="00217D7F" w:rsidP="00F25CD0">
            <w:pPr>
              <w:spacing w:after="150"/>
              <w:rPr>
                <w:rFonts w:ascii="Calibri" w:eastAsia="Calibri" w:hAnsi="Calibri"/>
                <w:sz w:val="22"/>
                <w:szCs w:val="22"/>
              </w:rPr>
            </w:pPr>
            <w:r w:rsidRPr="00F25CD0">
              <w:rPr>
                <w:rFonts w:ascii="Calibri" w:eastAsia="Calibri" w:hAnsi="Calibri"/>
                <w:noProof/>
                <w:sz w:val="22"/>
                <w:szCs w:val="22"/>
              </w:rPr>
              <w:drawing>
                <wp:inline distT="0" distB="0" distL="0" distR="0" wp14:anchorId="0522E215" wp14:editId="76F61655">
                  <wp:extent cx="206375" cy="11620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375" cy="116205"/>
                          </a:xfrm>
                          <a:prstGeom prst="rect">
                            <a:avLst/>
                          </a:prstGeom>
                          <a:noFill/>
                          <a:ln>
                            <a:noFill/>
                          </a:ln>
                        </pic:spPr>
                      </pic:pic>
                    </a:graphicData>
                  </a:graphic>
                </wp:inline>
              </w:drawing>
            </w:r>
            <w:r w:rsidR="00F25CD0" w:rsidRPr="00F25CD0">
              <w:rPr>
                <w:rFonts w:ascii="Calibri" w:eastAsia="Calibri" w:hAnsi="Calibri"/>
                <w:sz w:val="22"/>
                <w:szCs w:val="22"/>
              </w:rPr>
              <w:t>Yes</w:t>
            </w:r>
          </w:p>
          <w:p w14:paraId="6C6331AE" w14:textId="3CAC8749" w:rsidR="00F25CD0" w:rsidRPr="00F25CD0" w:rsidRDefault="00217D7F" w:rsidP="00F25CD0">
            <w:pPr>
              <w:spacing w:after="150"/>
              <w:rPr>
                <w:rFonts w:ascii="Calibri" w:eastAsia="Calibri" w:hAnsi="Calibri"/>
                <w:sz w:val="22"/>
                <w:szCs w:val="22"/>
              </w:rPr>
            </w:pPr>
            <w:r w:rsidRPr="00F25CD0">
              <w:rPr>
                <w:rFonts w:ascii="Calibri" w:eastAsia="Calibri" w:hAnsi="Calibri"/>
                <w:noProof/>
                <w:sz w:val="22"/>
                <w:szCs w:val="22"/>
              </w:rPr>
              <w:drawing>
                <wp:inline distT="0" distB="0" distL="0" distR="0" wp14:anchorId="2647FE59" wp14:editId="7CED74F3">
                  <wp:extent cx="206375" cy="11620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375" cy="116205"/>
                          </a:xfrm>
                          <a:prstGeom prst="rect">
                            <a:avLst/>
                          </a:prstGeom>
                          <a:noFill/>
                          <a:ln>
                            <a:noFill/>
                          </a:ln>
                        </pic:spPr>
                      </pic:pic>
                    </a:graphicData>
                  </a:graphic>
                </wp:inline>
              </w:drawing>
            </w:r>
            <w:r w:rsidR="00F25CD0" w:rsidRPr="00F25CD0">
              <w:rPr>
                <w:rFonts w:ascii="Calibri" w:eastAsia="Calibri" w:hAnsi="Calibri"/>
                <w:sz w:val="22"/>
                <w:szCs w:val="22"/>
              </w:rPr>
              <w:t>No</w:t>
            </w:r>
          </w:p>
        </w:tc>
      </w:tr>
    </w:tbl>
    <w:p w14:paraId="243E4D29" w14:textId="77777777" w:rsidR="002B0712" w:rsidRPr="000944DC" w:rsidRDefault="00F25CD0" w:rsidP="00F25CD0">
      <w:pPr>
        <w:suppressLineNumbers/>
        <w:ind w:right="-360"/>
        <w:jc w:val="center"/>
        <w:rPr>
          <w:rFonts w:ascii="Arial" w:hAnsi="Arial" w:cs="Arial"/>
        </w:rPr>
      </w:pPr>
      <w:r w:rsidRPr="000944DC">
        <w:rPr>
          <w:rFonts w:ascii="Arial" w:hAnsi="Arial" w:cs="Arial"/>
        </w:rPr>
        <w:t xml:space="preserve"> </w:t>
      </w:r>
    </w:p>
    <w:sectPr w:rsidR="002B0712" w:rsidRPr="000944DC" w:rsidSect="002B0712">
      <w:footerReference w:type="default" r:id="rId7"/>
      <w:pgSz w:w="12240" w:h="15840"/>
      <w:pgMar w:top="1440" w:right="720" w:bottom="1440" w:left="216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0CF8" w14:textId="77777777" w:rsidR="007911EC" w:rsidRDefault="007911EC">
      <w:r>
        <w:separator/>
      </w:r>
    </w:p>
  </w:endnote>
  <w:endnote w:type="continuationSeparator" w:id="0">
    <w:p w14:paraId="0D8BC617" w14:textId="77777777" w:rsidR="007911EC" w:rsidRDefault="0079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E02B" w14:textId="77777777" w:rsidR="002B0712" w:rsidRDefault="002B0712" w:rsidP="009F4E38">
    <w:pPr>
      <w:pStyle w:val="Footer"/>
      <w:jc w:val="center"/>
    </w:pPr>
    <w:r>
      <w:fldChar w:fldCharType="begin"/>
    </w:r>
    <w:r>
      <w:instrText xml:space="preserve"> PAGE   \* MERGEFORMAT </w:instrText>
    </w:r>
    <w:r>
      <w:fldChar w:fldCharType="separate"/>
    </w:r>
    <w:r w:rsidR="00A51E9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5115" w14:textId="77777777" w:rsidR="007911EC" w:rsidRDefault="007911EC">
      <w:r>
        <w:separator/>
      </w:r>
    </w:p>
  </w:footnote>
  <w:footnote w:type="continuationSeparator" w:id="0">
    <w:p w14:paraId="5D7A118A" w14:textId="77777777" w:rsidR="007911EC" w:rsidRDefault="00791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99"/>
    <w:rsid w:val="00052C85"/>
    <w:rsid w:val="00080BC7"/>
    <w:rsid w:val="000944DC"/>
    <w:rsid w:val="000A4847"/>
    <w:rsid w:val="000B1DD4"/>
    <w:rsid w:val="000B7901"/>
    <w:rsid w:val="000D1318"/>
    <w:rsid w:val="000E575C"/>
    <w:rsid w:val="00104199"/>
    <w:rsid w:val="001172C5"/>
    <w:rsid w:val="0013707D"/>
    <w:rsid w:val="00146341"/>
    <w:rsid w:val="00147A24"/>
    <w:rsid w:val="00162915"/>
    <w:rsid w:val="001A3D3A"/>
    <w:rsid w:val="001B1944"/>
    <w:rsid w:val="001E7B7B"/>
    <w:rsid w:val="00210F8C"/>
    <w:rsid w:val="00217D7F"/>
    <w:rsid w:val="00235619"/>
    <w:rsid w:val="002562FF"/>
    <w:rsid w:val="00262104"/>
    <w:rsid w:val="00271D4B"/>
    <w:rsid w:val="002B0712"/>
    <w:rsid w:val="002C76B6"/>
    <w:rsid w:val="002D24B5"/>
    <w:rsid w:val="002F3732"/>
    <w:rsid w:val="002F42EE"/>
    <w:rsid w:val="0031049A"/>
    <w:rsid w:val="003136FD"/>
    <w:rsid w:val="003353CE"/>
    <w:rsid w:val="00337A89"/>
    <w:rsid w:val="00341D01"/>
    <w:rsid w:val="00367843"/>
    <w:rsid w:val="003804F6"/>
    <w:rsid w:val="003927F1"/>
    <w:rsid w:val="003974B3"/>
    <w:rsid w:val="003B287E"/>
    <w:rsid w:val="003B7050"/>
    <w:rsid w:val="003C1EB2"/>
    <w:rsid w:val="003C5F5D"/>
    <w:rsid w:val="003F38A2"/>
    <w:rsid w:val="00447BCA"/>
    <w:rsid w:val="004714F6"/>
    <w:rsid w:val="00484E04"/>
    <w:rsid w:val="004946CC"/>
    <w:rsid w:val="004B2DC2"/>
    <w:rsid w:val="004B6455"/>
    <w:rsid w:val="004B6CD8"/>
    <w:rsid w:val="004D039A"/>
    <w:rsid w:val="004D7266"/>
    <w:rsid w:val="004F0EF9"/>
    <w:rsid w:val="004F5930"/>
    <w:rsid w:val="00551068"/>
    <w:rsid w:val="00552EF2"/>
    <w:rsid w:val="00571FE3"/>
    <w:rsid w:val="0057211A"/>
    <w:rsid w:val="00591D77"/>
    <w:rsid w:val="005A0333"/>
    <w:rsid w:val="005B3926"/>
    <w:rsid w:val="005B7ACF"/>
    <w:rsid w:val="005C30A6"/>
    <w:rsid w:val="005C5D99"/>
    <w:rsid w:val="005E7A6A"/>
    <w:rsid w:val="00615712"/>
    <w:rsid w:val="00655700"/>
    <w:rsid w:val="0068669B"/>
    <w:rsid w:val="006A0041"/>
    <w:rsid w:val="006A5AFB"/>
    <w:rsid w:val="006B0058"/>
    <w:rsid w:val="006C2C69"/>
    <w:rsid w:val="006F271B"/>
    <w:rsid w:val="007054A8"/>
    <w:rsid w:val="007218D9"/>
    <w:rsid w:val="00756A2A"/>
    <w:rsid w:val="007911EC"/>
    <w:rsid w:val="00791F09"/>
    <w:rsid w:val="007A0C76"/>
    <w:rsid w:val="007A2CFF"/>
    <w:rsid w:val="007B0609"/>
    <w:rsid w:val="007D2E8E"/>
    <w:rsid w:val="007F7AB2"/>
    <w:rsid w:val="00813790"/>
    <w:rsid w:val="00832E04"/>
    <w:rsid w:val="00870D22"/>
    <w:rsid w:val="008726C4"/>
    <w:rsid w:val="008863FA"/>
    <w:rsid w:val="00887DAB"/>
    <w:rsid w:val="00890FFD"/>
    <w:rsid w:val="0089120C"/>
    <w:rsid w:val="008F5EA1"/>
    <w:rsid w:val="00903505"/>
    <w:rsid w:val="00950C03"/>
    <w:rsid w:val="00961ADE"/>
    <w:rsid w:val="00976AAF"/>
    <w:rsid w:val="009B67D5"/>
    <w:rsid w:val="009C149E"/>
    <w:rsid w:val="009E1A84"/>
    <w:rsid w:val="009E7C9C"/>
    <w:rsid w:val="009F4E38"/>
    <w:rsid w:val="00A32E80"/>
    <w:rsid w:val="00A37A44"/>
    <w:rsid w:val="00A51E9F"/>
    <w:rsid w:val="00A579AF"/>
    <w:rsid w:val="00A80C5E"/>
    <w:rsid w:val="00A95342"/>
    <w:rsid w:val="00B03720"/>
    <w:rsid w:val="00B138E1"/>
    <w:rsid w:val="00B25CB2"/>
    <w:rsid w:val="00B34DC6"/>
    <w:rsid w:val="00B620AA"/>
    <w:rsid w:val="00B90E2C"/>
    <w:rsid w:val="00B91A4C"/>
    <w:rsid w:val="00B944A4"/>
    <w:rsid w:val="00BA4617"/>
    <w:rsid w:val="00BB4868"/>
    <w:rsid w:val="00BC6B70"/>
    <w:rsid w:val="00BD268E"/>
    <w:rsid w:val="00BF6B18"/>
    <w:rsid w:val="00C17E4C"/>
    <w:rsid w:val="00C34241"/>
    <w:rsid w:val="00C40800"/>
    <w:rsid w:val="00C504F4"/>
    <w:rsid w:val="00CC6956"/>
    <w:rsid w:val="00CC78C1"/>
    <w:rsid w:val="00D13443"/>
    <w:rsid w:val="00D21BB9"/>
    <w:rsid w:val="00D75225"/>
    <w:rsid w:val="00DC4E78"/>
    <w:rsid w:val="00E30DBC"/>
    <w:rsid w:val="00E32128"/>
    <w:rsid w:val="00E549BE"/>
    <w:rsid w:val="00E65263"/>
    <w:rsid w:val="00ED294E"/>
    <w:rsid w:val="00EE7BCB"/>
    <w:rsid w:val="00EF008D"/>
    <w:rsid w:val="00F0408D"/>
    <w:rsid w:val="00F17D45"/>
    <w:rsid w:val="00F25CD0"/>
    <w:rsid w:val="00F907FB"/>
    <w:rsid w:val="00FA0DAA"/>
    <w:rsid w:val="00FB1425"/>
    <w:rsid w:val="00FC72C5"/>
    <w:rsid w:val="00FD35DB"/>
    <w:rsid w:val="00FE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0655421"/>
  <w15:chartTrackingRefBased/>
  <w15:docId w15:val="{6DD3CBC7-EF0E-49F3-B644-2388952B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D2E8E"/>
    <w:pPr>
      <w:keepNext/>
      <w:spacing w:after="240" w:line="240" w:lineRule="atLeast"/>
      <w:jc w:val="center"/>
      <w:outlineLvl w:val="0"/>
    </w:pPr>
    <w:rPr>
      <w:rFonts w:ascii="CG Omega" w:hAnsi="CG Omega"/>
      <w:szCs w:val="20"/>
    </w:rPr>
  </w:style>
  <w:style w:type="paragraph" w:styleId="Heading2">
    <w:name w:val="heading 2"/>
    <w:basedOn w:val="Normal"/>
    <w:next w:val="Normal"/>
    <w:link w:val="Heading2Char"/>
    <w:qFormat/>
    <w:rsid w:val="007D2E8E"/>
    <w:pPr>
      <w:keepNext/>
      <w:spacing w:after="240" w:line="240" w:lineRule="atLeast"/>
      <w:jc w:val="right"/>
      <w:outlineLvl w:val="1"/>
    </w:pPr>
    <w:rPr>
      <w:rFonts w:ascii="CG Omega" w:hAnsi="CG Omeg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u w:val="single"/>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semiHidden/>
    <w:rPr>
      <w:sz w:val="24"/>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4"/>
      <w:szCs w:val="24"/>
    </w:rPr>
  </w:style>
  <w:style w:type="character" w:styleId="LineNumber">
    <w:name w:val="line number"/>
    <w:semiHidden/>
    <w:unhideWhenUsed/>
  </w:style>
  <w:style w:type="character" w:customStyle="1" w:styleId="Heading1Char">
    <w:name w:val="Heading 1 Char"/>
    <w:link w:val="Heading1"/>
    <w:rsid w:val="007D2E8E"/>
    <w:rPr>
      <w:rFonts w:ascii="CG Omega" w:hAnsi="CG Omega"/>
      <w:sz w:val="24"/>
    </w:rPr>
  </w:style>
  <w:style w:type="character" w:customStyle="1" w:styleId="Heading2Char">
    <w:name w:val="Heading 2 Char"/>
    <w:link w:val="Heading2"/>
    <w:rsid w:val="007D2E8E"/>
    <w:rPr>
      <w:rFonts w:ascii="CG Omega" w:hAnsi="CG Omega"/>
      <w:sz w:val="24"/>
    </w:rPr>
  </w:style>
  <w:style w:type="paragraph" w:styleId="NormalWeb">
    <w:name w:val="Normal (Web)"/>
    <w:basedOn w:val="Normal"/>
    <w:uiPriority w:val="99"/>
    <w:semiHidden/>
    <w:unhideWhenUsed/>
    <w:rsid w:val="004B6CD8"/>
    <w:pPr>
      <w:spacing w:before="100" w:beforeAutospacing="1" w:after="100" w:afterAutospacing="1"/>
    </w:pPr>
  </w:style>
  <w:style w:type="paragraph" w:styleId="HTMLPreformatted">
    <w:name w:val="HTML Preformatted"/>
    <w:basedOn w:val="Normal"/>
    <w:link w:val="HTMLPreformattedChar"/>
    <w:rsid w:val="00A5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579AF"/>
    <w:rPr>
      <w:rFonts w:ascii="Courier New" w:hAnsi="Courier New" w:cs="Courier New"/>
    </w:rPr>
  </w:style>
  <w:style w:type="paragraph" w:styleId="BalloonText">
    <w:name w:val="Balloon Text"/>
    <w:basedOn w:val="Normal"/>
    <w:link w:val="BalloonTextChar"/>
    <w:uiPriority w:val="99"/>
    <w:semiHidden/>
    <w:unhideWhenUsed/>
    <w:rsid w:val="007F7AB2"/>
    <w:rPr>
      <w:rFonts w:ascii="Tahoma" w:hAnsi="Tahoma" w:cs="Tahoma"/>
      <w:sz w:val="16"/>
      <w:szCs w:val="16"/>
    </w:rPr>
  </w:style>
  <w:style w:type="character" w:customStyle="1" w:styleId="BalloonTextChar">
    <w:name w:val="Balloon Text Char"/>
    <w:link w:val="BalloonText"/>
    <w:uiPriority w:val="99"/>
    <w:semiHidden/>
    <w:rsid w:val="007F7AB2"/>
    <w:rPr>
      <w:rFonts w:ascii="Tahoma" w:hAnsi="Tahoma" w:cs="Tahoma"/>
      <w:sz w:val="16"/>
      <w:szCs w:val="16"/>
    </w:rPr>
  </w:style>
  <w:style w:type="paragraph" w:customStyle="1" w:styleId="Default">
    <w:name w:val="Default"/>
    <w:rsid w:val="00ED294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9120C"/>
    <w:pPr>
      <w:spacing w:after="160" w:line="259" w:lineRule="auto"/>
      <w:ind w:left="720"/>
      <w:contextualSpacing/>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0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vt:lpstr>
    </vt:vector>
  </TitlesOfParts>
  <Company>Dane County</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dc:title>
  <dc:subject/>
  <dc:creator>Dyann Hafner</dc:creator>
  <cp:keywords/>
  <cp:lastModifiedBy>Maxwell-Mitchell, Lottie</cp:lastModifiedBy>
  <cp:revision>2</cp:revision>
  <cp:lastPrinted>2014-06-04T21:24:00Z</cp:lastPrinted>
  <dcterms:created xsi:type="dcterms:W3CDTF">2022-06-24T19:04:00Z</dcterms:created>
  <dcterms:modified xsi:type="dcterms:W3CDTF">2022-06-24T19:04:00Z</dcterms:modified>
</cp:coreProperties>
</file>