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73F92" w14:textId="77F36CF2" w:rsidR="009E61C9" w:rsidRDefault="00C1261F" w:rsidP="0049458B">
      <w:pPr>
        <w:pStyle w:val="ListParagraph"/>
        <w:spacing w:after="0"/>
        <w:ind w:left="0"/>
      </w:pPr>
      <w:r>
        <w:t>By S</w:t>
      </w:r>
      <w:r w:rsidR="7974C566">
        <w:t>upervisor</w:t>
      </w:r>
      <w:r w:rsidR="00B24159">
        <w:t xml:space="preserve">s O’Connor, Shea, Capriolo, </w:t>
      </w:r>
      <w:r w:rsidR="009E61C9">
        <w:t xml:space="preserve">                                               File No. 26-419</w:t>
      </w:r>
    </w:p>
    <w:p w14:paraId="3388EE99" w14:textId="77777777" w:rsidR="001F1935" w:rsidRDefault="00B24159" w:rsidP="0049458B">
      <w:pPr>
        <w:pStyle w:val="ListParagraph"/>
        <w:spacing w:after="0"/>
        <w:ind w:left="0"/>
      </w:pPr>
      <w:r>
        <w:t>Logsdon</w:t>
      </w:r>
      <w:r w:rsidR="009E61C9">
        <w:t>, Gómez-Tom, Martinez</w:t>
      </w:r>
      <w:r w:rsidR="00ED0C45">
        <w:t>, Rolland</w:t>
      </w:r>
      <w:r w:rsidR="008940F1">
        <w:t>, Vincent</w:t>
      </w:r>
      <w:r w:rsidR="002A3D3F">
        <w:t>,</w:t>
      </w:r>
    </w:p>
    <w:p w14:paraId="55C14952" w14:textId="09552371" w:rsidR="00C1261F" w:rsidRPr="00DB61CE" w:rsidRDefault="001F1935" w:rsidP="0049458B">
      <w:pPr>
        <w:pStyle w:val="ListParagraph"/>
        <w:spacing w:after="0"/>
        <w:ind w:left="0"/>
      </w:pPr>
      <w:r>
        <w:t>Roundtree Jr.</w:t>
      </w:r>
      <w:r w:rsidR="00382B69">
        <w:t>, Eckblad</w:t>
      </w:r>
      <w:r w:rsidR="00C1261F">
        <w:tab/>
      </w:r>
      <w:r w:rsidR="00C1261F">
        <w:tab/>
      </w:r>
      <w:r w:rsidR="00C1261F">
        <w:tab/>
      </w:r>
    </w:p>
    <w:p w14:paraId="672A6659" w14:textId="77777777" w:rsidR="00C1261F" w:rsidRDefault="00C1261F" w:rsidP="0049458B">
      <w:pPr>
        <w:pStyle w:val="ListParagraph"/>
        <w:spacing w:after="0"/>
        <w:ind w:left="0"/>
        <w:jc w:val="center"/>
        <w:rPr>
          <w:b/>
        </w:rPr>
      </w:pPr>
    </w:p>
    <w:p w14:paraId="5A7822FC" w14:textId="77777777" w:rsidR="00B775B4" w:rsidRDefault="00B775B4" w:rsidP="0049458B">
      <w:pPr>
        <w:pStyle w:val="ListParagraph"/>
        <w:spacing w:after="0"/>
        <w:ind w:left="0"/>
        <w:jc w:val="center"/>
        <w:rPr>
          <w:b/>
        </w:rPr>
      </w:pPr>
    </w:p>
    <w:p w14:paraId="0A37501D" w14:textId="77777777" w:rsidR="00DB64DB" w:rsidRPr="00DB61CE" w:rsidRDefault="00DB64DB" w:rsidP="0049458B">
      <w:pPr>
        <w:pStyle w:val="ListParagraph"/>
        <w:spacing w:after="0"/>
        <w:ind w:left="0"/>
        <w:jc w:val="center"/>
        <w:rPr>
          <w:b/>
        </w:rPr>
      </w:pPr>
    </w:p>
    <w:p w14:paraId="4F0BB0E1" w14:textId="40E5CE15" w:rsidR="005A4159" w:rsidRDefault="006D354B" w:rsidP="0049458B">
      <w:pPr>
        <w:pStyle w:val="ListParagraph"/>
        <w:spacing w:after="0"/>
        <w:ind w:left="0"/>
        <w:jc w:val="center"/>
        <w:rPr>
          <w:b/>
        </w:rPr>
      </w:pPr>
      <w:r>
        <w:rPr>
          <w:b/>
        </w:rPr>
        <w:t xml:space="preserve">A </w:t>
      </w:r>
      <w:r w:rsidR="009B2388">
        <w:rPr>
          <w:b/>
        </w:rPr>
        <w:t xml:space="preserve">SUBSTITUTE </w:t>
      </w:r>
      <w:r>
        <w:rPr>
          <w:b/>
        </w:rPr>
        <w:t>RESOLUTION</w:t>
      </w:r>
    </w:p>
    <w:p w14:paraId="5DAB6C7B" w14:textId="77777777" w:rsidR="0007456D" w:rsidRDefault="0007456D" w:rsidP="0049458B">
      <w:pPr>
        <w:pStyle w:val="ListParagraph"/>
        <w:spacing w:after="0"/>
        <w:ind w:left="0"/>
        <w:rPr>
          <w:b/>
        </w:rPr>
      </w:pPr>
    </w:p>
    <w:p w14:paraId="1B27BACE" w14:textId="77777777" w:rsidR="00D10958" w:rsidRPr="00B775B4" w:rsidRDefault="00D10958" w:rsidP="00D10958">
      <w:pPr>
        <w:pStyle w:val="ListParagraph"/>
        <w:spacing w:after="0"/>
        <w:ind w:left="0"/>
        <w:jc w:val="center"/>
        <w:rPr>
          <w:bCs/>
        </w:rPr>
      </w:pPr>
      <w:r>
        <w:rPr>
          <w:bCs/>
        </w:rPr>
        <w:t xml:space="preserve">Requesting annual reporting from We Energies to support Milwaukee County’s climate, infrastructure, and energy planning </w:t>
      </w:r>
    </w:p>
    <w:p w14:paraId="3E4B4CE7" w14:textId="535CEDF9" w:rsidR="701B092F" w:rsidRDefault="701B092F" w:rsidP="0049458B">
      <w:pPr>
        <w:pStyle w:val="ListParagraph"/>
        <w:spacing w:after="0"/>
        <w:ind w:left="0" w:firstLine="720"/>
      </w:pPr>
    </w:p>
    <w:p w14:paraId="428F6003" w14:textId="77777777" w:rsidR="00970A28" w:rsidRDefault="00970A28" w:rsidP="0049458B">
      <w:pPr>
        <w:pStyle w:val="ListParagraph"/>
        <w:spacing w:after="0"/>
        <w:ind w:left="0" w:firstLine="720"/>
      </w:pPr>
    </w:p>
    <w:p w14:paraId="03C3BBDF" w14:textId="02A73F73" w:rsidR="00F7554F" w:rsidRDefault="003E6670" w:rsidP="00D41B67">
      <w:pPr>
        <w:pStyle w:val="NormalWeb"/>
        <w:spacing w:before="0" w:beforeAutospacing="0" w:after="0" w:afterAutospacing="0"/>
        <w:ind w:firstLine="720"/>
        <w:rPr>
          <w:rFonts w:ascii="Arial" w:hAnsi="Arial" w:cs="Arial"/>
        </w:rPr>
      </w:pPr>
      <w:r w:rsidRPr="00181EC0">
        <w:rPr>
          <w:rFonts w:ascii="Arial" w:hAnsi="Arial" w:cs="Arial"/>
        </w:rPr>
        <w:t xml:space="preserve">WHEREAS, </w:t>
      </w:r>
      <w:r w:rsidR="00F7554F" w:rsidRPr="00181EC0">
        <w:rPr>
          <w:rFonts w:ascii="Arial" w:hAnsi="Arial" w:cs="Arial"/>
        </w:rPr>
        <w:t>WE Energies has submitted a request to the Public Service Commission of Wisconsin seeking an approximately 14% increase in residential electric rates, representing one of the largest proposed increases in recent years; and</w:t>
      </w:r>
    </w:p>
    <w:p w14:paraId="37EA12C2" w14:textId="77777777" w:rsidR="00D41B67" w:rsidRPr="00181EC0" w:rsidRDefault="00D41B67" w:rsidP="00D41B67">
      <w:pPr>
        <w:pStyle w:val="NormalWeb"/>
        <w:spacing w:before="0" w:beforeAutospacing="0" w:after="0" w:afterAutospacing="0"/>
        <w:ind w:firstLine="720"/>
        <w:rPr>
          <w:rFonts w:ascii="Arial" w:hAnsi="Arial" w:cs="Arial"/>
        </w:rPr>
      </w:pPr>
    </w:p>
    <w:p w14:paraId="070B1642" w14:textId="77777777" w:rsidR="00F7554F" w:rsidRDefault="00F7554F" w:rsidP="00D41B67">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WHEREAS,</w:t>
      </w:r>
      <w:r w:rsidRPr="00181EC0">
        <w:rPr>
          <w:rFonts w:ascii="Arial" w:hAnsi="Arial" w:cs="Arial"/>
        </w:rPr>
        <w:t xml:space="preserve"> residents, businesses, and local governments across Milwaukee County are captive customers of WE Energies, with no alternative provider available, making them wholly dependent on fair and reasonable regulation by the Public Service Commission; and</w:t>
      </w:r>
    </w:p>
    <w:p w14:paraId="0EC7CBDB" w14:textId="77777777" w:rsidR="00497B7F" w:rsidRDefault="00497B7F" w:rsidP="00D41B67">
      <w:pPr>
        <w:pStyle w:val="NormalWeb"/>
        <w:spacing w:before="0" w:beforeAutospacing="0" w:after="0" w:afterAutospacing="0"/>
        <w:ind w:firstLine="720"/>
        <w:rPr>
          <w:rFonts w:ascii="Arial" w:hAnsi="Arial" w:cs="Arial"/>
        </w:rPr>
      </w:pPr>
    </w:p>
    <w:p w14:paraId="415CAD89" w14:textId="2AA0359C" w:rsidR="00497B7F" w:rsidRDefault="00497B7F" w:rsidP="00D41B67">
      <w:pPr>
        <w:pStyle w:val="NormalWeb"/>
        <w:spacing w:before="0" w:beforeAutospacing="0" w:after="0" w:afterAutospacing="0"/>
        <w:ind w:firstLine="720"/>
        <w:rPr>
          <w:rFonts w:ascii="Arial" w:hAnsi="Arial" w:cs="Arial"/>
        </w:rPr>
      </w:pPr>
      <w:r w:rsidRPr="00CF5583">
        <w:rPr>
          <w:rFonts w:ascii="Arial" w:hAnsi="Arial" w:cs="Arial"/>
        </w:rPr>
        <w:t>WHEREAS, on May 11, 2026, the Milwaukee County Intergovernmental Cooperation Council unanimously adopted a similar resolution and called upon the Milwaukee County Board of Supervisors to join in support;</w:t>
      </w:r>
      <w:r w:rsidR="00C96972">
        <w:rPr>
          <w:rFonts w:ascii="Arial" w:hAnsi="Arial" w:cs="Arial"/>
        </w:rPr>
        <w:t xml:space="preserve"> and </w:t>
      </w:r>
    </w:p>
    <w:p w14:paraId="46719209" w14:textId="77777777" w:rsidR="00D41B67" w:rsidRPr="00181EC0" w:rsidRDefault="00D41B67" w:rsidP="00D41B67">
      <w:pPr>
        <w:pStyle w:val="NormalWeb"/>
        <w:spacing w:before="0" w:beforeAutospacing="0" w:after="0" w:afterAutospacing="0"/>
        <w:ind w:firstLine="720"/>
        <w:rPr>
          <w:rFonts w:ascii="Arial" w:hAnsi="Arial" w:cs="Arial"/>
        </w:rPr>
      </w:pPr>
    </w:p>
    <w:p w14:paraId="4F6196F3" w14:textId="77777777" w:rsidR="00F7554F" w:rsidRDefault="00F7554F" w:rsidP="00D41B67">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WHEREAS,</w:t>
      </w:r>
      <w:r w:rsidRPr="00181EC0">
        <w:rPr>
          <w:rFonts w:ascii="Arial" w:hAnsi="Arial" w:cs="Arial"/>
        </w:rPr>
        <w:t xml:space="preserve"> the proposed rate increase is justified in part by planned investments in new energy generation and infrastructure, despite the fact that ratepayers continue to bear costs associated with older, retired energy facilities; and</w:t>
      </w:r>
    </w:p>
    <w:p w14:paraId="0E01AE06" w14:textId="77777777" w:rsidR="00D41B67" w:rsidRPr="00181EC0" w:rsidRDefault="00D41B67" w:rsidP="00D41B67">
      <w:pPr>
        <w:pStyle w:val="NormalWeb"/>
        <w:spacing w:before="0" w:beforeAutospacing="0" w:after="0" w:afterAutospacing="0"/>
        <w:ind w:firstLine="720"/>
        <w:rPr>
          <w:rFonts w:ascii="Arial" w:hAnsi="Arial" w:cs="Arial"/>
        </w:rPr>
      </w:pPr>
    </w:p>
    <w:p w14:paraId="6DE8D239" w14:textId="77777777" w:rsidR="00F7554F" w:rsidRDefault="00F7554F" w:rsidP="00D41B67">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WHEREAS,</w:t>
      </w:r>
      <w:r w:rsidRPr="00181EC0">
        <w:rPr>
          <w:rFonts w:ascii="Arial" w:hAnsi="Arial" w:cs="Arial"/>
        </w:rPr>
        <w:t xml:space="preserve"> questions remain regarding the necessity, timing, and scale of these new investments, particularly in light of whether they are being driven by increased demand from large-scale energy users such as data centers and other high-consumption private enterprises; and</w:t>
      </w:r>
    </w:p>
    <w:p w14:paraId="6C3D99A5" w14:textId="77777777" w:rsidR="00D41B67" w:rsidRPr="00181EC0" w:rsidRDefault="00D41B67" w:rsidP="00D41B67">
      <w:pPr>
        <w:pStyle w:val="NormalWeb"/>
        <w:spacing w:before="0" w:beforeAutospacing="0" w:after="0" w:afterAutospacing="0"/>
        <w:ind w:firstLine="720"/>
        <w:rPr>
          <w:rFonts w:ascii="Arial" w:hAnsi="Arial" w:cs="Arial"/>
        </w:rPr>
      </w:pPr>
    </w:p>
    <w:p w14:paraId="17D5CEC5" w14:textId="77777777" w:rsidR="00F7554F" w:rsidRDefault="00F7554F" w:rsidP="00D41B67">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WHEREAS,</w:t>
      </w:r>
      <w:r w:rsidRPr="00181EC0">
        <w:rPr>
          <w:rFonts w:ascii="Arial" w:hAnsi="Arial" w:cs="Arial"/>
        </w:rPr>
        <w:t xml:space="preserve"> if new infrastructure investments are primarily intended to support such high-demand private users, it is appropriate to question whether the costs should be more directly allocated to those users rather than broadly distributed among residential and small business ratepayers; and</w:t>
      </w:r>
    </w:p>
    <w:p w14:paraId="68EA9580" w14:textId="77777777" w:rsidR="00D41B67" w:rsidRPr="00181EC0" w:rsidRDefault="00D41B67" w:rsidP="00D41B67">
      <w:pPr>
        <w:pStyle w:val="NormalWeb"/>
        <w:spacing w:before="0" w:beforeAutospacing="0" w:after="0" w:afterAutospacing="0"/>
        <w:ind w:firstLine="720"/>
        <w:rPr>
          <w:rFonts w:ascii="Arial" w:hAnsi="Arial" w:cs="Arial"/>
        </w:rPr>
      </w:pPr>
    </w:p>
    <w:p w14:paraId="006A0B00" w14:textId="77777777" w:rsidR="00F7554F" w:rsidRDefault="00F7554F" w:rsidP="00D41B67">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WHEREAS,</w:t>
      </w:r>
      <w:r w:rsidRPr="00181EC0">
        <w:rPr>
          <w:rFonts w:ascii="Arial" w:hAnsi="Arial" w:cs="Arial"/>
        </w:rPr>
        <w:t xml:space="preserve"> under the current regulatory framework, the Public Service Commission authorizes a guaranteed rate of return for regulated utilities, effectively insulating utilities and their investors from the risks typically associated with private market investments; and</w:t>
      </w:r>
    </w:p>
    <w:p w14:paraId="40670C7E" w14:textId="77777777" w:rsidR="000470A2" w:rsidRPr="00181EC0" w:rsidRDefault="000470A2" w:rsidP="00D41B67">
      <w:pPr>
        <w:pStyle w:val="NormalWeb"/>
        <w:spacing w:before="0" w:beforeAutospacing="0" w:after="0" w:afterAutospacing="0"/>
        <w:ind w:firstLine="720"/>
        <w:rPr>
          <w:rFonts w:ascii="Arial" w:hAnsi="Arial" w:cs="Arial"/>
        </w:rPr>
      </w:pPr>
    </w:p>
    <w:p w14:paraId="7F34B1A6" w14:textId="77777777" w:rsidR="00F7554F" w:rsidRPr="00181EC0" w:rsidRDefault="00F7554F" w:rsidP="003E6670">
      <w:pPr>
        <w:pStyle w:val="NormalWeb"/>
        <w:ind w:firstLine="720"/>
        <w:rPr>
          <w:rFonts w:ascii="Arial" w:hAnsi="Arial" w:cs="Arial"/>
        </w:rPr>
      </w:pPr>
      <w:r w:rsidRPr="00181EC0">
        <w:rPr>
          <w:rStyle w:val="Strong"/>
          <w:rFonts w:ascii="Arial" w:eastAsiaTheme="majorEastAsia" w:hAnsi="Arial" w:cs="Arial"/>
          <w:b w:val="0"/>
          <w:bCs w:val="0"/>
        </w:rPr>
        <w:t>WHEREAS,</w:t>
      </w:r>
      <w:r w:rsidRPr="00181EC0">
        <w:rPr>
          <w:rFonts w:ascii="Arial" w:hAnsi="Arial" w:cs="Arial"/>
        </w:rPr>
        <w:t xml:space="preserve"> this guaranteed profit structure shifts financial risk away from shareholders and onto ratepayers, who are required to absorb the costs of capital investments regardless of market conditions or the prudence of those investments; and</w:t>
      </w:r>
    </w:p>
    <w:p w14:paraId="2390256B" w14:textId="77777777" w:rsidR="00F7554F" w:rsidRDefault="00F7554F" w:rsidP="000470A2">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WHEREAS,</w:t>
      </w:r>
      <w:r w:rsidRPr="00181EC0">
        <w:rPr>
          <w:rFonts w:ascii="Arial" w:hAnsi="Arial" w:cs="Arial"/>
        </w:rPr>
        <w:t xml:space="preserve"> in a free-market, capitalist system, investors in virtually all other sectors are subject to market forces, including the possibility of financial loss due to changing conditions or poor decision-making; and</w:t>
      </w:r>
    </w:p>
    <w:p w14:paraId="1E67838E" w14:textId="77777777" w:rsidR="000470A2" w:rsidRPr="00181EC0" w:rsidRDefault="000470A2" w:rsidP="000470A2">
      <w:pPr>
        <w:pStyle w:val="NormalWeb"/>
        <w:spacing w:before="0" w:beforeAutospacing="0" w:after="0" w:afterAutospacing="0"/>
        <w:ind w:firstLine="720"/>
        <w:rPr>
          <w:rFonts w:ascii="Arial" w:hAnsi="Arial" w:cs="Arial"/>
        </w:rPr>
      </w:pPr>
    </w:p>
    <w:p w14:paraId="6BF84253" w14:textId="77777777" w:rsidR="00F7554F" w:rsidRDefault="00F7554F" w:rsidP="000470A2">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WHEREAS,</w:t>
      </w:r>
      <w:r w:rsidRPr="00181EC0">
        <w:rPr>
          <w:rFonts w:ascii="Arial" w:hAnsi="Arial" w:cs="Arial"/>
        </w:rPr>
        <w:t xml:space="preserve"> the continuation of a guaranteed rate of return for utilities raises important questions about fairness, accountability, and whether existing regulatory models appropriately balance the interests of utilities, investors, and ratepayers in today’s evolving energy economy; and</w:t>
      </w:r>
    </w:p>
    <w:p w14:paraId="3D65BDE6" w14:textId="77777777" w:rsidR="000470A2" w:rsidRPr="00181EC0" w:rsidRDefault="000470A2" w:rsidP="000470A2">
      <w:pPr>
        <w:pStyle w:val="NormalWeb"/>
        <w:spacing w:before="0" w:beforeAutospacing="0" w:after="0" w:afterAutospacing="0"/>
        <w:ind w:firstLine="720"/>
        <w:rPr>
          <w:rFonts w:ascii="Arial" w:hAnsi="Arial" w:cs="Arial"/>
        </w:rPr>
      </w:pPr>
    </w:p>
    <w:p w14:paraId="2E155CCB" w14:textId="77777777" w:rsidR="00F7554F" w:rsidRDefault="00F7554F" w:rsidP="000470A2">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WHEREAS,</w:t>
      </w:r>
      <w:r w:rsidRPr="00181EC0">
        <w:rPr>
          <w:rFonts w:ascii="Arial" w:hAnsi="Arial" w:cs="Arial"/>
        </w:rPr>
        <w:t xml:space="preserve"> municipalities within Milwaukee County have experienced firsthand the consequences of delayed or insufficient infrastructure investment, in some cases requiring extraordinary measures to compel necessary system upgrades while continuing to face increasing costs; and</w:t>
      </w:r>
    </w:p>
    <w:p w14:paraId="090337A3" w14:textId="77777777" w:rsidR="000470A2" w:rsidRPr="00181EC0" w:rsidRDefault="000470A2" w:rsidP="000470A2">
      <w:pPr>
        <w:pStyle w:val="NormalWeb"/>
        <w:spacing w:before="0" w:beforeAutospacing="0" w:after="0" w:afterAutospacing="0"/>
        <w:ind w:firstLine="720"/>
        <w:rPr>
          <w:rFonts w:ascii="Arial" w:hAnsi="Arial" w:cs="Arial"/>
        </w:rPr>
      </w:pPr>
    </w:p>
    <w:p w14:paraId="0495AE4B" w14:textId="3D6642D9" w:rsidR="00F7554F" w:rsidRPr="00181EC0" w:rsidRDefault="00F7554F" w:rsidP="00C96972">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WHEREAS,</w:t>
      </w:r>
      <w:r w:rsidRPr="00181EC0">
        <w:rPr>
          <w:rFonts w:ascii="Arial" w:hAnsi="Arial" w:cs="Arial"/>
        </w:rPr>
        <w:t xml:space="preserve"> local governments, as major ratepayers themselves, have a direct interest in ensuring that utility rates remain reasonable, justified, and aligned with actual service needs and prudent financial management;</w:t>
      </w:r>
      <w:r w:rsidR="001B1584">
        <w:rPr>
          <w:rFonts w:ascii="Arial" w:hAnsi="Arial" w:cs="Arial"/>
        </w:rPr>
        <w:t xml:space="preserve"> </w:t>
      </w:r>
      <w:r w:rsidR="003E6670" w:rsidRPr="00CF5583">
        <w:rPr>
          <w:rFonts w:ascii="Arial" w:hAnsi="Arial" w:cs="Arial"/>
        </w:rPr>
        <w:t>now, therefore,</w:t>
      </w:r>
      <w:r w:rsidR="003E6670" w:rsidRPr="00181EC0">
        <w:rPr>
          <w:rFonts w:ascii="Arial" w:hAnsi="Arial" w:cs="Arial"/>
        </w:rPr>
        <w:t xml:space="preserve"> </w:t>
      </w:r>
    </w:p>
    <w:p w14:paraId="459CDA09" w14:textId="77777777" w:rsidR="0053543E" w:rsidRPr="00181EC0" w:rsidRDefault="0053543E" w:rsidP="003458BE">
      <w:pPr>
        <w:ind w:right="720"/>
      </w:pPr>
    </w:p>
    <w:p w14:paraId="1CAFE3C5" w14:textId="1F4082C2" w:rsidR="00181EC0" w:rsidRDefault="00181EC0" w:rsidP="000470A2">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BE IT RESOLVED</w:t>
      </w:r>
      <w:r w:rsidR="00460D7B">
        <w:rPr>
          <w:rStyle w:val="Strong"/>
          <w:rFonts w:ascii="Arial" w:eastAsiaTheme="majorEastAsia" w:hAnsi="Arial" w:cs="Arial"/>
          <w:b w:val="0"/>
          <w:bCs w:val="0"/>
        </w:rPr>
        <w:t>,</w:t>
      </w:r>
      <w:r w:rsidRPr="00181EC0">
        <w:rPr>
          <w:rFonts w:ascii="Arial" w:hAnsi="Arial" w:cs="Arial"/>
        </w:rPr>
        <w:t xml:space="preserve"> that the Milwaukee County </w:t>
      </w:r>
      <w:r w:rsidR="000470A2">
        <w:rPr>
          <w:rFonts w:ascii="Arial" w:hAnsi="Arial" w:cs="Arial"/>
        </w:rPr>
        <w:t>Board of Supervisors</w:t>
      </w:r>
      <w:r w:rsidRPr="00181EC0">
        <w:rPr>
          <w:rFonts w:ascii="Arial" w:hAnsi="Arial" w:cs="Arial"/>
        </w:rPr>
        <w:t xml:space="preserve"> urges the Public Service Commission of Wisconsin to conduct a thorough and critical review of WE Energies’ proposed rate increase, including a detailed examination of the necessity of new infrastructure investments and the allocation of associated costs; and</w:t>
      </w:r>
    </w:p>
    <w:p w14:paraId="0B92C4E5" w14:textId="77777777" w:rsidR="000470A2" w:rsidRPr="00181EC0" w:rsidRDefault="000470A2" w:rsidP="000470A2">
      <w:pPr>
        <w:pStyle w:val="NormalWeb"/>
        <w:spacing w:before="0" w:beforeAutospacing="0" w:after="0" w:afterAutospacing="0"/>
        <w:ind w:firstLine="720"/>
        <w:rPr>
          <w:rFonts w:ascii="Arial" w:hAnsi="Arial" w:cs="Arial"/>
        </w:rPr>
      </w:pPr>
    </w:p>
    <w:p w14:paraId="22C1C882" w14:textId="3519038A" w:rsidR="00181EC0" w:rsidRDefault="00181EC0" w:rsidP="000470A2">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BE IT FURTHER RESOLVED</w:t>
      </w:r>
      <w:r w:rsidR="00460D7B">
        <w:rPr>
          <w:rStyle w:val="Strong"/>
          <w:rFonts w:ascii="Arial" w:eastAsiaTheme="majorEastAsia" w:hAnsi="Arial" w:cs="Arial"/>
          <w:b w:val="0"/>
          <w:bCs w:val="0"/>
        </w:rPr>
        <w:t>,</w:t>
      </w:r>
      <w:r w:rsidRPr="00181EC0">
        <w:rPr>
          <w:rFonts w:ascii="Arial" w:hAnsi="Arial" w:cs="Arial"/>
        </w:rPr>
        <w:t xml:space="preserve"> that the </w:t>
      </w:r>
      <w:r w:rsidR="00AB2774">
        <w:rPr>
          <w:rFonts w:ascii="Arial" w:hAnsi="Arial" w:cs="Arial"/>
        </w:rPr>
        <w:t>Milwaukee County Board of Supervisors</w:t>
      </w:r>
      <w:r w:rsidRPr="00181EC0">
        <w:rPr>
          <w:rFonts w:ascii="Arial" w:hAnsi="Arial" w:cs="Arial"/>
        </w:rPr>
        <w:t xml:space="preserve"> calls upon the Public Service Commission to reevaluate the continued use of a guaranteed rate of return for regulated utilities and to consider reforms that introduce greater accountability and align utility investment risk more closely with broader market principles; and</w:t>
      </w:r>
    </w:p>
    <w:p w14:paraId="193D6781" w14:textId="77777777" w:rsidR="000470A2" w:rsidRPr="00181EC0" w:rsidRDefault="000470A2" w:rsidP="000470A2">
      <w:pPr>
        <w:pStyle w:val="NormalWeb"/>
        <w:spacing w:before="0" w:beforeAutospacing="0" w:after="0" w:afterAutospacing="0"/>
        <w:ind w:firstLine="720"/>
        <w:rPr>
          <w:rFonts w:ascii="Arial" w:hAnsi="Arial" w:cs="Arial"/>
        </w:rPr>
      </w:pPr>
    </w:p>
    <w:p w14:paraId="7F35ED71" w14:textId="71443845" w:rsidR="00181EC0" w:rsidRDefault="00181EC0" w:rsidP="000470A2">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BE IT FURTHER RESOLVED</w:t>
      </w:r>
      <w:r w:rsidR="00460D7B">
        <w:rPr>
          <w:rStyle w:val="Strong"/>
          <w:rFonts w:ascii="Arial" w:eastAsiaTheme="majorEastAsia" w:hAnsi="Arial" w:cs="Arial"/>
          <w:b w:val="0"/>
          <w:bCs w:val="0"/>
        </w:rPr>
        <w:t>,</w:t>
      </w:r>
      <w:r w:rsidRPr="00181EC0">
        <w:rPr>
          <w:rFonts w:ascii="Arial" w:hAnsi="Arial" w:cs="Arial"/>
        </w:rPr>
        <w:t xml:space="preserve"> that the </w:t>
      </w:r>
      <w:r w:rsidR="006C13D5">
        <w:rPr>
          <w:rFonts w:ascii="Arial" w:hAnsi="Arial" w:cs="Arial"/>
        </w:rPr>
        <w:t>Milwaukee County Board of Supervisors</w:t>
      </w:r>
      <w:r w:rsidRPr="00181EC0">
        <w:rPr>
          <w:rFonts w:ascii="Arial" w:hAnsi="Arial" w:cs="Arial"/>
        </w:rPr>
        <w:t xml:space="preserve"> strongly encourages all 19 municipalities within Milwaukee County to adopt similar resolutions or to submit formal correspondence from their governing bodies and chief elected officials to the Public Service Commission expressing concern regarding the proposed rate increase and the underlying regulatory framework; and</w:t>
      </w:r>
    </w:p>
    <w:p w14:paraId="0F86FC40" w14:textId="77777777" w:rsidR="000470A2" w:rsidRPr="00181EC0" w:rsidRDefault="000470A2" w:rsidP="000470A2">
      <w:pPr>
        <w:pStyle w:val="NormalWeb"/>
        <w:spacing w:before="0" w:beforeAutospacing="0" w:after="0" w:afterAutospacing="0"/>
        <w:ind w:firstLine="720"/>
        <w:rPr>
          <w:rFonts w:ascii="Arial" w:hAnsi="Arial" w:cs="Arial"/>
        </w:rPr>
      </w:pPr>
    </w:p>
    <w:p w14:paraId="76961DBF" w14:textId="74556D17" w:rsidR="0053543E" w:rsidRPr="00181EC0" w:rsidRDefault="00181EC0" w:rsidP="000470A2">
      <w:pPr>
        <w:pStyle w:val="NormalWeb"/>
        <w:spacing w:before="0" w:beforeAutospacing="0" w:after="0" w:afterAutospacing="0"/>
        <w:ind w:firstLine="720"/>
        <w:rPr>
          <w:rFonts w:ascii="Arial" w:hAnsi="Arial" w:cs="Arial"/>
        </w:rPr>
      </w:pPr>
      <w:r w:rsidRPr="00181EC0">
        <w:rPr>
          <w:rStyle w:val="Strong"/>
          <w:rFonts w:ascii="Arial" w:eastAsiaTheme="majorEastAsia" w:hAnsi="Arial" w:cs="Arial"/>
          <w:b w:val="0"/>
          <w:bCs w:val="0"/>
        </w:rPr>
        <w:t>BE IT FURTHER RESOLVED</w:t>
      </w:r>
      <w:r w:rsidR="00460D7B">
        <w:rPr>
          <w:rStyle w:val="Strong"/>
          <w:rFonts w:ascii="Arial" w:eastAsiaTheme="majorEastAsia" w:hAnsi="Arial" w:cs="Arial"/>
          <w:b w:val="0"/>
          <w:bCs w:val="0"/>
        </w:rPr>
        <w:t>,</w:t>
      </w:r>
      <w:r w:rsidRPr="00181EC0">
        <w:rPr>
          <w:rFonts w:ascii="Arial" w:hAnsi="Arial" w:cs="Arial"/>
        </w:rPr>
        <w:t xml:space="preserve"> that copies of this resolution be transmitted to the Public Service Commission of Wisconsin, the Governor of Wisconsin, members of the Wisconsin Legislature representing Milwaukee County and the chief elected officials and governing bodies of all municipalities within Milwaukee County.</w:t>
      </w:r>
    </w:p>
    <w:sectPr w:rsidR="0053543E" w:rsidRPr="00181EC0" w:rsidSect="001263C7">
      <w:footerReference w:type="default" r:id="rId7"/>
      <w:endnotePr>
        <w:numFmt w:val="decimal"/>
      </w:endnotePr>
      <w:type w:val="continuous"/>
      <w:pgSz w:w="12240" w:h="15840" w:code="1"/>
      <w:pgMar w:top="1440" w:right="720" w:bottom="1440" w:left="2160" w:header="1440" w:footer="1440" w:gutter="0"/>
      <w:lnNumType w:countBy="1" w:restart="continuou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1665C6" w14:textId="77777777" w:rsidR="00E43024" w:rsidRDefault="00E43024">
      <w:r>
        <w:separator/>
      </w:r>
    </w:p>
  </w:endnote>
  <w:endnote w:type="continuationSeparator" w:id="0">
    <w:p w14:paraId="0F05DD55" w14:textId="77777777" w:rsidR="00E43024" w:rsidRDefault="00E43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Omega">
    <w:altName w:val="Candara"/>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79970226"/>
      <w:docPartObj>
        <w:docPartGallery w:val="Page Numbers (Bottom of Page)"/>
        <w:docPartUnique/>
      </w:docPartObj>
    </w:sdtPr>
    <w:sdtContent>
      <w:sdt>
        <w:sdtPr>
          <w:id w:val="1728636285"/>
          <w:docPartObj>
            <w:docPartGallery w:val="Page Numbers (Top of Page)"/>
            <w:docPartUnique/>
          </w:docPartObj>
        </w:sdtPr>
        <w:sdtContent>
          <w:p w14:paraId="14F7A6C4" w14:textId="55CF571E" w:rsidR="00D970AA" w:rsidRDefault="00D970AA">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5A39BBE3" w14:textId="60F0E7C0" w:rsidR="00E650DF" w:rsidRPr="003E669E" w:rsidRDefault="00E650DF" w:rsidP="00691F8D">
    <w:pPr>
      <w:pStyle w:val="Footer"/>
      <w:tabs>
        <w:tab w:val="clear" w:pos="4680"/>
        <w:tab w:val="clear" w:pos="9360"/>
        <w:tab w:val="center" w:pos="3960"/>
        <w:tab w:val="right" w:pos="9990"/>
      </w:tabs>
      <w:ind w:left="-720" w:right="720"/>
      <w:jc w:val="center"/>
      <w:rPr>
        <w:rFonts w:ascii="CG Omega" w:hAnsi="CG Omeg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ED1E51" w14:textId="77777777" w:rsidR="00E43024" w:rsidRDefault="00E43024">
      <w:r>
        <w:separator/>
      </w:r>
    </w:p>
  </w:footnote>
  <w:footnote w:type="continuationSeparator" w:id="0">
    <w:p w14:paraId="4E28E61F" w14:textId="77777777" w:rsidR="00E43024" w:rsidRDefault="00E430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C649D3"/>
    <w:multiLevelType w:val="singleLevel"/>
    <w:tmpl w:val="6CEE498A"/>
    <w:lvl w:ilvl="0">
      <w:start w:val="1"/>
      <w:numFmt w:val="decimal"/>
      <w:lvlText w:val="(%1)"/>
      <w:lvlJc w:val="left"/>
      <w:pPr>
        <w:tabs>
          <w:tab w:val="num" w:pos="360"/>
        </w:tabs>
        <w:ind w:left="360" w:hanging="360"/>
      </w:pPr>
    </w:lvl>
  </w:abstractNum>
  <w:abstractNum w:abstractNumId="1" w15:restartNumberingAfterBreak="0">
    <w:nsid w:val="1971356F"/>
    <w:multiLevelType w:val="hybridMultilevel"/>
    <w:tmpl w:val="409E7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0C59D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9A138CB"/>
    <w:multiLevelType w:val="hybridMultilevel"/>
    <w:tmpl w:val="EF927C8E"/>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4" w15:restartNumberingAfterBreak="0">
    <w:nsid w:val="3E075BC4"/>
    <w:multiLevelType w:val="hybridMultilevel"/>
    <w:tmpl w:val="7758F3E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15:restartNumberingAfterBreak="0">
    <w:nsid w:val="5236244B"/>
    <w:multiLevelType w:val="singleLevel"/>
    <w:tmpl w:val="39421754"/>
    <w:lvl w:ilvl="0">
      <w:start w:val="1"/>
      <w:numFmt w:val="decimal"/>
      <w:lvlText w:val="%1."/>
      <w:lvlJc w:val="left"/>
      <w:pPr>
        <w:tabs>
          <w:tab w:val="num" w:pos="1080"/>
        </w:tabs>
        <w:ind w:left="1080" w:hanging="360"/>
      </w:pPr>
      <w:rPr>
        <w:rFonts w:hint="default"/>
      </w:rPr>
    </w:lvl>
  </w:abstractNum>
  <w:abstractNum w:abstractNumId="6" w15:restartNumberingAfterBreak="0">
    <w:nsid w:val="53257E1A"/>
    <w:multiLevelType w:val="hybridMultilevel"/>
    <w:tmpl w:val="04AE012E"/>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53535722"/>
    <w:multiLevelType w:val="hybridMultilevel"/>
    <w:tmpl w:val="EAF2DC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690A73C7"/>
    <w:multiLevelType w:val="multilevel"/>
    <w:tmpl w:val="EDDC933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o"/>
      <w:lvlJc w:val="left"/>
      <w:pPr>
        <w:tabs>
          <w:tab w:val="num" w:pos="2160"/>
        </w:tabs>
        <w:ind w:left="2160" w:hanging="360"/>
      </w:pPr>
      <w:rPr>
        <w:rFonts w:ascii="Courier New" w:hAnsi="Courier New" w:hint="default"/>
        <w:sz w:val="20"/>
      </w:rPr>
    </w:lvl>
    <w:lvl w:ilvl="3">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78866E4C"/>
    <w:multiLevelType w:val="hybridMultilevel"/>
    <w:tmpl w:val="F5B851C4"/>
    <w:lvl w:ilvl="0" w:tplc="4F4EB99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70244400">
    <w:abstractNumId w:val="0"/>
  </w:num>
  <w:num w:numId="2" w16cid:durableId="1031883576">
    <w:abstractNumId w:val="2"/>
  </w:num>
  <w:num w:numId="3" w16cid:durableId="1443109013">
    <w:abstractNumId w:val="5"/>
  </w:num>
  <w:num w:numId="4" w16cid:durableId="559678021">
    <w:abstractNumId w:val="3"/>
  </w:num>
  <w:num w:numId="5" w16cid:durableId="1427656320">
    <w:abstractNumId w:val="8"/>
  </w:num>
  <w:num w:numId="6" w16cid:durableId="2059433185">
    <w:abstractNumId w:val="1"/>
  </w:num>
  <w:num w:numId="7" w16cid:durableId="435828816">
    <w:abstractNumId w:val="9"/>
  </w:num>
  <w:num w:numId="8" w16cid:durableId="1723286145">
    <w:abstractNumId w:val="7"/>
  </w:num>
  <w:num w:numId="9" w16cid:durableId="1520972398">
    <w:abstractNumId w:val="6"/>
  </w:num>
  <w:num w:numId="10" w16cid:durableId="6140250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attachedTemplate r:id="rId1"/>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720"/>
    <w:rsid w:val="00001524"/>
    <w:rsid w:val="0001189A"/>
    <w:rsid w:val="0002154F"/>
    <w:rsid w:val="0004187E"/>
    <w:rsid w:val="000470A2"/>
    <w:rsid w:val="00056A69"/>
    <w:rsid w:val="0007456D"/>
    <w:rsid w:val="00080AD6"/>
    <w:rsid w:val="000901D9"/>
    <w:rsid w:val="00093533"/>
    <w:rsid w:val="000944E6"/>
    <w:rsid w:val="000A0375"/>
    <w:rsid w:val="000A6FA0"/>
    <w:rsid w:val="000B5E84"/>
    <w:rsid w:val="000B6BD0"/>
    <w:rsid w:val="000B6D44"/>
    <w:rsid w:val="000D7267"/>
    <w:rsid w:val="000E4747"/>
    <w:rsid w:val="000E47DE"/>
    <w:rsid w:val="000F1821"/>
    <w:rsid w:val="000F188D"/>
    <w:rsid w:val="000F1980"/>
    <w:rsid w:val="000F37A1"/>
    <w:rsid w:val="0010004B"/>
    <w:rsid w:val="00106937"/>
    <w:rsid w:val="001133D2"/>
    <w:rsid w:val="001143C2"/>
    <w:rsid w:val="00116AB0"/>
    <w:rsid w:val="001263C7"/>
    <w:rsid w:val="00131AB4"/>
    <w:rsid w:val="00135A20"/>
    <w:rsid w:val="001405E8"/>
    <w:rsid w:val="00142A40"/>
    <w:rsid w:val="001432FB"/>
    <w:rsid w:val="001457E6"/>
    <w:rsid w:val="0016329D"/>
    <w:rsid w:val="00163692"/>
    <w:rsid w:val="00176981"/>
    <w:rsid w:val="001770FB"/>
    <w:rsid w:val="00180005"/>
    <w:rsid w:val="00181EC0"/>
    <w:rsid w:val="00184392"/>
    <w:rsid w:val="0018574F"/>
    <w:rsid w:val="001B1584"/>
    <w:rsid w:val="001B2F00"/>
    <w:rsid w:val="001D5A05"/>
    <w:rsid w:val="001E6962"/>
    <w:rsid w:val="001F0E60"/>
    <w:rsid w:val="001F1935"/>
    <w:rsid w:val="001F1DC5"/>
    <w:rsid w:val="00201F80"/>
    <w:rsid w:val="00206A0E"/>
    <w:rsid w:val="002076D2"/>
    <w:rsid w:val="002237BC"/>
    <w:rsid w:val="002362C4"/>
    <w:rsid w:val="0023644B"/>
    <w:rsid w:val="00252C03"/>
    <w:rsid w:val="0025693B"/>
    <w:rsid w:val="00266C6C"/>
    <w:rsid w:val="002711EB"/>
    <w:rsid w:val="00273EE5"/>
    <w:rsid w:val="00282B57"/>
    <w:rsid w:val="002839F3"/>
    <w:rsid w:val="00295F51"/>
    <w:rsid w:val="002A1977"/>
    <w:rsid w:val="002A3D3F"/>
    <w:rsid w:val="002B06DA"/>
    <w:rsid w:val="002B515F"/>
    <w:rsid w:val="002C661C"/>
    <w:rsid w:val="002D1813"/>
    <w:rsid w:val="002E3346"/>
    <w:rsid w:val="00305E7D"/>
    <w:rsid w:val="0031612E"/>
    <w:rsid w:val="00320132"/>
    <w:rsid w:val="00335ABA"/>
    <w:rsid w:val="00340D83"/>
    <w:rsid w:val="00344D68"/>
    <w:rsid w:val="003458BE"/>
    <w:rsid w:val="003575ED"/>
    <w:rsid w:val="003606B9"/>
    <w:rsid w:val="0037025B"/>
    <w:rsid w:val="00382B69"/>
    <w:rsid w:val="003850E2"/>
    <w:rsid w:val="0039092B"/>
    <w:rsid w:val="00393D76"/>
    <w:rsid w:val="00395BD9"/>
    <w:rsid w:val="00397813"/>
    <w:rsid w:val="003978A8"/>
    <w:rsid w:val="003B6EFA"/>
    <w:rsid w:val="003C0946"/>
    <w:rsid w:val="003C484C"/>
    <w:rsid w:val="003D10FA"/>
    <w:rsid w:val="003D3897"/>
    <w:rsid w:val="003E0C44"/>
    <w:rsid w:val="003E4D6E"/>
    <w:rsid w:val="003E53FD"/>
    <w:rsid w:val="003E6670"/>
    <w:rsid w:val="003E669E"/>
    <w:rsid w:val="003F033A"/>
    <w:rsid w:val="003F7797"/>
    <w:rsid w:val="003F7E98"/>
    <w:rsid w:val="004134D8"/>
    <w:rsid w:val="00423434"/>
    <w:rsid w:val="00426382"/>
    <w:rsid w:val="00440117"/>
    <w:rsid w:val="004541A4"/>
    <w:rsid w:val="0045794A"/>
    <w:rsid w:val="00460D7B"/>
    <w:rsid w:val="0046281E"/>
    <w:rsid w:val="00484D82"/>
    <w:rsid w:val="00485468"/>
    <w:rsid w:val="00491424"/>
    <w:rsid w:val="0049167F"/>
    <w:rsid w:val="0049458B"/>
    <w:rsid w:val="0049475A"/>
    <w:rsid w:val="00496FB8"/>
    <w:rsid w:val="00497B7F"/>
    <w:rsid w:val="004A56FB"/>
    <w:rsid w:val="004C0424"/>
    <w:rsid w:val="004C7A11"/>
    <w:rsid w:val="004D14AA"/>
    <w:rsid w:val="0050091D"/>
    <w:rsid w:val="00507B6D"/>
    <w:rsid w:val="00517B1C"/>
    <w:rsid w:val="005203C8"/>
    <w:rsid w:val="00525D5A"/>
    <w:rsid w:val="0053543E"/>
    <w:rsid w:val="00554FEA"/>
    <w:rsid w:val="00562021"/>
    <w:rsid w:val="00566EB1"/>
    <w:rsid w:val="00572AA6"/>
    <w:rsid w:val="00583B2F"/>
    <w:rsid w:val="00583C73"/>
    <w:rsid w:val="0059662B"/>
    <w:rsid w:val="00597058"/>
    <w:rsid w:val="005A2A13"/>
    <w:rsid w:val="005A4159"/>
    <w:rsid w:val="005A4961"/>
    <w:rsid w:val="005B1C58"/>
    <w:rsid w:val="005B366F"/>
    <w:rsid w:val="005B5CF5"/>
    <w:rsid w:val="005C2704"/>
    <w:rsid w:val="005C2980"/>
    <w:rsid w:val="005C55F5"/>
    <w:rsid w:val="005C6DB1"/>
    <w:rsid w:val="005D4375"/>
    <w:rsid w:val="005E1D80"/>
    <w:rsid w:val="006008AF"/>
    <w:rsid w:val="0060695A"/>
    <w:rsid w:val="00607BDE"/>
    <w:rsid w:val="00614C8D"/>
    <w:rsid w:val="00622E29"/>
    <w:rsid w:val="00624D9E"/>
    <w:rsid w:val="006352C0"/>
    <w:rsid w:val="0063724B"/>
    <w:rsid w:val="006409DE"/>
    <w:rsid w:val="00664D5A"/>
    <w:rsid w:val="006707D0"/>
    <w:rsid w:val="0068587C"/>
    <w:rsid w:val="00687CD6"/>
    <w:rsid w:val="00690CD3"/>
    <w:rsid w:val="00691F8D"/>
    <w:rsid w:val="006930B1"/>
    <w:rsid w:val="006A1459"/>
    <w:rsid w:val="006A3172"/>
    <w:rsid w:val="006B1B2B"/>
    <w:rsid w:val="006B28A6"/>
    <w:rsid w:val="006B4314"/>
    <w:rsid w:val="006B5ADC"/>
    <w:rsid w:val="006B68CC"/>
    <w:rsid w:val="006C13D5"/>
    <w:rsid w:val="006C7D5E"/>
    <w:rsid w:val="006D354B"/>
    <w:rsid w:val="006D7B79"/>
    <w:rsid w:val="006F4423"/>
    <w:rsid w:val="007018A6"/>
    <w:rsid w:val="00701EAA"/>
    <w:rsid w:val="00702AAB"/>
    <w:rsid w:val="007167CF"/>
    <w:rsid w:val="007328A4"/>
    <w:rsid w:val="0073772C"/>
    <w:rsid w:val="00750441"/>
    <w:rsid w:val="0075759C"/>
    <w:rsid w:val="007646D9"/>
    <w:rsid w:val="007649D8"/>
    <w:rsid w:val="007746D8"/>
    <w:rsid w:val="00780741"/>
    <w:rsid w:val="007839C9"/>
    <w:rsid w:val="00784AC8"/>
    <w:rsid w:val="00794E41"/>
    <w:rsid w:val="007A0908"/>
    <w:rsid w:val="007A30F1"/>
    <w:rsid w:val="007A3B94"/>
    <w:rsid w:val="007A63C8"/>
    <w:rsid w:val="007A69FD"/>
    <w:rsid w:val="007C4E30"/>
    <w:rsid w:val="007E0334"/>
    <w:rsid w:val="007E4967"/>
    <w:rsid w:val="007E4FCA"/>
    <w:rsid w:val="007E557A"/>
    <w:rsid w:val="007F4C63"/>
    <w:rsid w:val="007F751E"/>
    <w:rsid w:val="00820FB7"/>
    <w:rsid w:val="00821ED9"/>
    <w:rsid w:val="00822DC7"/>
    <w:rsid w:val="00825C98"/>
    <w:rsid w:val="00832F73"/>
    <w:rsid w:val="008350E5"/>
    <w:rsid w:val="00844756"/>
    <w:rsid w:val="0085628E"/>
    <w:rsid w:val="00860969"/>
    <w:rsid w:val="00860DDC"/>
    <w:rsid w:val="00870DEC"/>
    <w:rsid w:val="0087522B"/>
    <w:rsid w:val="0087527B"/>
    <w:rsid w:val="0087667E"/>
    <w:rsid w:val="00891906"/>
    <w:rsid w:val="008940F1"/>
    <w:rsid w:val="00896B13"/>
    <w:rsid w:val="008A31D5"/>
    <w:rsid w:val="008A6724"/>
    <w:rsid w:val="008A70C8"/>
    <w:rsid w:val="008B4117"/>
    <w:rsid w:val="008C1A0D"/>
    <w:rsid w:val="008D6A14"/>
    <w:rsid w:val="008E5864"/>
    <w:rsid w:val="008F4508"/>
    <w:rsid w:val="008F76C6"/>
    <w:rsid w:val="008F7FE2"/>
    <w:rsid w:val="00900173"/>
    <w:rsid w:val="00920A49"/>
    <w:rsid w:val="00922144"/>
    <w:rsid w:val="00956EFB"/>
    <w:rsid w:val="00962DA6"/>
    <w:rsid w:val="00964F54"/>
    <w:rsid w:val="00965F18"/>
    <w:rsid w:val="00967FD6"/>
    <w:rsid w:val="00970A28"/>
    <w:rsid w:val="00971FBB"/>
    <w:rsid w:val="00972DB7"/>
    <w:rsid w:val="00977C7B"/>
    <w:rsid w:val="00980A22"/>
    <w:rsid w:val="00990E6C"/>
    <w:rsid w:val="00991733"/>
    <w:rsid w:val="009A0EED"/>
    <w:rsid w:val="009A0FAA"/>
    <w:rsid w:val="009B2388"/>
    <w:rsid w:val="009C021B"/>
    <w:rsid w:val="009C55D4"/>
    <w:rsid w:val="009D2E56"/>
    <w:rsid w:val="009E281A"/>
    <w:rsid w:val="009E61C9"/>
    <w:rsid w:val="009F6170"/>
    <w:rsid w:val="009F6D73"/>
    <w:rsid w:val="00A0506A"/>
    <w:rsid w:val="00A137EA"/>
    <w:rsid w:val="00A20FAF"/>
    <w:rsid w:val="00A34671"/>
    <w:rsid w:val="00A407F2"/>
    <w:rsid w:val="00A5473E"/>
    <w:rsid w:val="00A570D6"/>
    <w:rsid w:val="00A6580F"/>
    <w:rsid w:val="00A66874"/>
    <w:rsid w:val="00A676B0"/>
    <w:rsid w:val="00A7061A"/>
    <w:rsid w:val="00A72BE8"/>
    <w:rsid w:val="00A77BE3"/>
    <w:rsid w:val="00A77EEF"/>
    <w:rsid w:val="00A83349"/>
    <w:rsid w:val="00A86DB7"/>
    <w:rsid w:val="00A95EB7"/>
    <w:rsid w:val="00AA4F36"/>
    <w:rsid w:val="00AB274B"/>
    <w:rsid w:val="00AB2774"/>
    <w:rsid w:val="00AB5C63"/>
    <w:rsid w:val="00AC14F0"/>
    <w:rsid w:val="00AC17D7"/>
    <w:rsid w:val="00AD0FFC"/>
    <w:rsid w:val="00AD6333"/>
    <w:rsid w:val="00AD66AF"/>
    <w:rsid w:val="00AD7378"/>
    <w:rsid w:val="00AE5551"/>
    <w:rsid w:val="00B100E9"/>
    <w:rsid w:val="00B143A7"/>
    <w:rsid w:val="00B16086"/>
    <w:rsid w:val="00B24159"/>
    <w:rsid w:val="00B26220"/>
    <w:rsid w:val="00B3335B"/>
    <w:rsid w:val="00B4764C"/>
    <w:rsid w:val="00B618AB"/>
    <w:rsid w:val="00B745B2"/>
    <w:rsid w:val="00B775B4"/>
    <w:rsid w:val="00B83884"/>
    <w:rsid w:val="00BB395A"/>
    <w:rsid w:val="00BC09A3"/>
    <w:rsid w:val="00BC2BF1"/>
    <w:rsid w:val="00BD0124"/>
    <w:rsid w:val="00BD076A"/>
    <w:rsid w:val="00BD321F"/>
    <w:rsid w:val="00BD4997"/>
    <w:rsid w:val="00BE3377"/>
    <w:rsid w:val="00BE5DFC"/>
    <w:rsid w:val="00BF20BB"/>
    <w:rsid w:val="00BF791C"/>
    <w:rsid w:val="00C1261F"/>
    <w:rsid w:val="00C171E4"/>
    <w:rsid w:val="00C259E0"/>
    <w:rsid w:val="00C32FF0"/>
    <w:rsid w:val="00C35044"/>
    <w:rsid w:val="00C46871"/>
    <w:rsid w:val="00C503CE"/>
    <w:rsid w:val="00C63FCC"/>
    <w:rsid w:val="00C80247"/>
    <w:rsid w:val="00C8756A"/>
    <w:rsid w:val="00C8760A"/>
    <w:rsid w:val="00C93A7F"/>
    <w:rsid w:val="00C942F8"/>
    <w:rsid w:val="00C96972"/>
    <w:rsid w:val="00CA3B93"/>
    <w:rsid w:val="00CB2D22"/>
    <w:rsid w:val="00CC2C19"/>
    <w:rsid w:val="00CD29C6"/>
    <w:rsid w:val="00CE147A"/>
    <w:rsid w:val="00CE4963"/>
    <w:rsid w:val="00CE7CE1"/>
    <w:rsid w:val="00CF5583"/>
    <w:rsid w:val="00CF6C0E"/>
    <w:rsid w:val="00D01441"/>
    <w:rsid w:val="00D10958"/>
    <w:rsid w:val="00D17A15"/>
    <w:rsid w:val="00D3145E"/>
    <w:rsid w:val="00D41B67"/>
    <w:rsid w:val="00D4331A"/>
    <w:rsid w:val="00D44CF4"/>
    <w:rsid w:val="00D4736E"/>
    <w:rsid w:val="00D50FBE"/>
    <w:rsid w:val="00D54146"/>
    <w:rsid w:val="00D62DA8"/>
    <w:rsid w:val="00D72EB8"/>
    <w:rsid w:val="00D7479E"/>
    <w:rsid w:val="00D766AD"/>
    <w:rsid w:val="00D87443"/>
    <w:rsid w:val="00D8751F"/>
    <w:rsid w:val="00D9120B"/>
    <w:rsid w:val="00D970AA"/>
    <w:rsid w:val="00DA1675"/>
    <w:rsid w:val="00DA59A7"/>
    <w:rsid w:val="00DA6556"/>
    <w:rsid w:val="00DA7E01"/>
    <w:rsid w:val="00DB1394"/>
    <w:rsid w:val="00DB61CE"/>
    <w:rsid w:val="00DB64DB"/>
    <w:rsid w:val="00DC5865"/>
    <w:rsid w:val="00DD7025"/>
    <w:rsid w:val="00DE290A"/>
    <w:rsid w:val="00DE5B9C"/>
    <w:rsid w:val="00DE7BA2"/>
    <w:rsid w:val="00DF3C20"/>
    <w:rsid w:val="00E01425"/>
    <w:rsid w:val="00E05FED"/>
    <w:rsid w:val="00E1502A"/>
    <w:rsid w:val="00E30FD9"/>
    <w:rsid w:val="00E31628"/>
    <w:rsid w:val="00E41AFA"/>
    <w:rsid w:val="00E43024"/>
    <w:rsid w:val="00E4706B"/>
    <w:rsid w:val="00E47440"/>
    <w:rsid w:val="00E509ED"/>
    <w:rsid w:val="00E5619C"/>
    <w:rsid w:val="00E62EC0"/>
    <w:rsid w:val="00E64FC5"/>
    <w:rsid w:val="00E650DF"/>
    <w:rsid w:val="00E72327"/>
    <w:rsid w:val="00E76D3D"/>
    <w:rsid w:val="00E866CC"/>
    <w:rsid w:val="00E873F6"/>
    <w:rsid w:val="00E918BB"/>
    <w:rsid w:val="00EA2F2E"/>
    <w:rsid w:val="00EA7B41"/>
    <w:rsid w:val="00EB13D7"/>
    <w:rsid w:val="00EB3FF0"/>
    <w:rsid w:val="00EC22A5"/>
    <w:rsid w:val="00EC3A8E"/>
    <w:rsid w:val="00ED0C45"/>
    <w:rsid w:val="00ED2720"/>
    <w:rsid w:val="00ED76D1"/>
    <w:rsid w:val="00EE0B50"/>
    <w:rsid w:val="00EF25D4"/>
    <w:rsid w:val="00EF3132"/>
    <w:rsid w:val="00EF6BC7"/>
    <w:rsid w:val="00EF7326"/>
    <w:rsid w:val="00F02E3A"/>
    <w:rsid w:val="00F03768"/>
    <w:rsid w:val="00F10691"/>
    <w:rsid w:val="00F20E7C"/>
    <w:rsid w:val="00F20F39"/>
    <w:rsid w:val="00F26F02"/>
    <w:rsid w:val="00F309CD"/>
    <w:rsid w:val="00F5533C"/>
    <w:rsid w:val="00F602ED"/>
    <w:rsid w:val="00F7554F"/>
    <w:rsid w:val="00F76743"/>
    <w:rsid w:val="00F947DD"/>
    <w:rsid w:val="00F95E9C"/>
    <w:rsid w:val="00FB4A1D"/>
    <w:rsid w:val="00FC1024"/>
    <w:rsid w:val="00FC135C"/>
    <w:rsid w:val="00FF4B51"/>
    <w:rsid w:val="0141173F"/>
    <w:rsid w:val="038D0FEA"/>
    <w:rsid w:val="042DE15B"/>
    <w:rsid w:val="0478B801"/>
    <w:rsid w:val="0603FBDA"/>
    <w:rsid w:val="07B058C3"/>
    <w:rsid w:val="0D5E647C"/>
    <w:rsid w:val="0E1F9A47"/>
    <w:rsid w:val="19E731B5"/>
    <w:rsid w:val="23E3C9CA"/>
    <w:rsid w:val="25CDD780"/>
    <w:rsid w:val="2706BDD1"/>
    <w:rsid w:val="28B73AED"/>
    <w:rsid w:val="2BF6C935"/>
    <w:rsid w:val="2D5F95E3"/>
    <w:rsid w:val="33ED53B7"/>
    <w:rsid w:val="3BA3A94C"/>
    <w:rsid w:val="3C6B9E1A"/>
    <w:rsid w:val="3D70BC58"/>
    <w:rsid w:val="3E8357F6"/>
    <w:rsid w:val="44D9711D"/>
    <w:rsid w:val="4B48B2A1"/>
    <w:rsid w:val="4C09E86C"/>
    <w:rsid w:val="4CE48302"/>
    <w:rsid w:val="4DBBC6EF"/>
    <w:rsid w:val="4E805363"/>
    <w:rsid w:val="52BE71AA"/>
    <w:rsid w:val="536CECE3"/>
    <w:rsid w:val="540BB373"/>
    <w:rsid w:val="54EF94E7"/>
    <w:rsid w:val="5574A747"/>
    <w:rsid w:val="55EAA04F"/>
    <w:rsid w:val="5925080E"/>
    <w:rsid w:val="5B1D92E8"/>
    <w:rsid w:val="5B5ED66B"/>
    <w:rsid w:val="5D029452"/>
    <w:rsid w:val="6369E850"/>
    <w:rsid w:val="66A97698"/>
    <w:rsid w:val="672A0D27"/>
    <w:rsid w:val="6A77E9F1"/>
    <w:rsid w:val="6FBB9E4A"/>
    <w:rsid w:val="701B092F"/>
    <w:rsid w:val="742E16C7"/>
    <w:rsid w:val="748CAE26"/>
    <w:rsid w:val="75E317FF"/>
    <w:rsid w:val="7974C566"/>
    <w:rsid w:val="7AEAFE17"/>
    <w:rsid w:val="7BB3F616"/>
    <w:rsid w:val="7CAF77C7"/>
    <w:rsid w:val="7EBACE8D"/>
    <w:rsid w:val="7F3F00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81359D4"/>
  <w15:chartTrackingRefBased/>
  <w15:docId w15:val="{3FFE55E3-FF39-4EF8-855C-D28BB9B5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rPr>
      <w:sz w:val="24"/>
      <w:szCs w:val="24"/>
    </w:rPr>
  </w:style>
  <w:style w:type="paragraph" w:styleId="Heading1">
    <w:name w:val="heading 1"/>
    <w:basedOn w:val="Normal"/>
    <w:next w:val="Normal"/>
    <w:qFormat/>
    <w:pPr>
      <w:keepNext/>
      <w:widowControl/>
      <w:tabs>
        <w:tab w:val="left" w:pos="720"/>
        <w:tab w:val="left" w:pos="1800"/>
        <w:tab w:val="center" w:pos="4680"/>
        <w:tab w:val="right" w:pos="9360"/>
      </w:tabs>
      <w:ind w:firstLine="720"/>
      <w:jc w:val="center"/>
      <w:outlineLvl w:val="0"/>
    </w:pPr>
    <w:rPr>
      <w:rFonts w:ascii="CG Omega" w:hAnsi="CG Omega"/>
      <w: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character" w:styleId="LineNumber">
    <w:name w:val="line number"/>
    <w:basedOn w:val="DefaultParagraphFont"/>
    <w:semiHidden/>
  </w:style>
  <w:style w:type="paragraph" w:styleId="BodyText">
    <w:name w:val="Body Text"/>
    <w:basedOn w:val="Normal"/>
    <w:semiHidden/>
    <w:pPr>
      <w:widowControl/>
      <w:tabs>
        <w:tab w:val="left" w:pos="720"/>
        <w:tab w:val="left" w:pos="1800"/>
        <w:tab w:val="center" w:pos="4680"/>
        <w:tab w:val="right" w:pos="9360"/>
      </w:tabs>
      <w:jc w:val="center"/>
    </w:pPr>
    <w:rPr>
      <w:rFonts w:ascii="CG Omega" w:hAnsi="CG Omega"/>
    </w:rPr>
  </w:style>
  <w:style w:type="paragraph" w:styleId="BodyTextIndent">
    <w:name w:val="Body Text Indent"/>
    <w:basedOn w:val="Normal"/>
    <w:semiHidden/>
    <w:pPr>
      <w:widowControl/>
      <w:tabs>
        <w:tab w:val="left" w:pos="720"/>
        <w:tab w:val="left" w:pos="1800"/>
        <w:tab w:val="center" w:pos="4680"/>
        <w:tab w:val="right" w:pos="9360"/>
      </w:tabs>
      <w:ind w:left="1800" w:hanging="1800"/>
    </w:pPr>
    <w:rPr>
      <w:rFonts w:ascii="CG Omega" w:hAnsi="CG Omega"/>
      <w:b/>
    </w:rPr>
  </w:style>
  <w:style w:type="paragraph" w:styleId="BodyTextIndent2">
    <w:name w:val="Body Text Indent 2"/>
    <w:basedOn w:val="Normal"/>
    <w:semiHidden/>
    <w:pPr>
      <w:ind w:left="720"/>
    </w:pPr>
    <w:rPr>
      <w:rFonts w:ascii="CG Omega" w:hAnsi="CG Omega"/>
    </w:rPr>
  </w:style>
  <w:style w:type="paragraph" w:styleId="BodyTextIndent3">
    <w:name w:val="Body Text Indent 3"/>
    <w:basedOn w:val="Normal"/>
    <w:semiHidden/>
    <w:pPr>
      <w:widowControl/>
      <w:tabs>
        <w:tab w:val="left" w:pos="720"/>
        <w:tab w:val="left" w:pos="1800"/>
        <w:tab w:val="center" w:pos="4680"/>
        <w:tab w:val="right" w:pos="9360"/>
      </w:tabs>
      <w:ind w:left="720"/>
      <w:jc w:val="center"/>
    </w:pPr>
    <w:rPr>
      <w:rFonts w:ascii="CG Omega" w:hAnsi="CG Omega"/>
    </w:rPr>
  </w:style>
  <w:style w:type="paragraph" w:styleId="BalloonText">
    <w:name w:val="Balloon Text"/>
    <w:basedOn w:val="Normal"/>
    <w:link w:val="BalloonTextChar"/>
    <w:uiPriority w:val="99"/>
    <w:semiHidden/>
    <w:unhideWhenUsed/>
    <w:rsid w:val="007A63C8"/>
    <w:rPr>
      <w:rFonts w:ascii="Tahoma" w:hAnsi="Tahoma" w:cs="Tahoma"/>
      <w:sz w:val="16"/>
      <w:szCs w:val="16"/>
    </w:rPr>
  </w:style>
  <w:style w:type="character" w:customStyle="1" w:styleId="BalloonTextChar">
    <w:name w:val="Balloon Text Char"/>
    <w:link w:val="BalloonText"/>
    <w:uiPriority w:val="99"/>
    <w:semiHidden/>
    <w:rsid w:val="007A63C8"/>
    <w:rPr>
      <w:rFonts w:ascii="Tahoma" w:hAnsi="Tahoma" w:cs="Tahoma"/>
      <w:snapToGrid w:val="0"/>
      <w:sz w:val="16"/>
      <w:szCs w:val="16"/>
    </w:rPr>
  </w:style>
  <w:style w:type="paragraph" w:styleId="Header">
    <w:name w:val="header"/>
    <w:basedOn w:val="Normal"/>
    <w:link w:val="HeaderChar"/>
    <w:uiPriority w:val="99"/>
    <w:unhideWhenUsed/>
    <w:rsid w:val="001E6962"/>
    <w:pPr>
      <w:tabs>
        <w:tab w:val="center" w:pos="4680"/>
        <w:tab w:val="right" w:pos="9360"/>
      </w:tabs>
    </w:pPr>
  </w:style>
  <w:style w:type="character" w:customStyle="1" w:styleId="HeaderChar">
    <w:name w:val="Header Char"/>
    <w:link w:val="Header"/>
    <w:uiPriority w:val="99"/>
    <w:rsid w:val="001E6962"/>
    <w:rPr>
      <w:snapToGrid w:val="0"/>
      <w:sz w:val="24"/>
    </w:rPr>
  </w:style>
  <w:style w:type="paragraph" w:styleId="Footer">
    <w:name w:val="footer"/>
    <w:basedOn w:val="Normal"/>
    <w:link w:val="FooterChar"/>
    <w:uiPriority w:val="99"/>
    <w:unhideWhenUsed/>
    <w:rsid w:val="001E6962"/>
    <w:pPr>
      <w:tabs>
        <w:tab w:val="center" w:pos="4680"/>
        <w:tab w:val="right" w:pos="9360"/>
      </w:tabs>
    </w:pPr>
  </w:style>
  <w:style w:type="character" w:customStyle="1" w:styleId="FooterChar">
    <w:name w:val="Footer Char"/>
    <w:link w:val="Footer"/>
    <w:uiPriority w:val="99"/>
    <w:rsid w:val="001E6962"/>
    <w:rPr>
      <w:snapToGrid w:val="0"/>
      <w:sz w:val="24"/>
    </w:rPr>
  </w:style>
  <w:style w:type="character" w:styleId="Hyperlink">
    <w:name w:val="Hyperlink"/>
    <w:uiPriority w:val="99"/>
    <w:unhideWhenUsed/>
    <w:rsid w:val="002B06DA"/>
    <w:rPr>
      <w:color w:val="0563C1"/>
      <w:u w:val="single"/>
    </w:rPr>
  </w:style>
  <w:style w:type="character" w:styleId="FollowedHyperlink">
    <w:name w:val="FollowedHyperlink"/>
    <w:uiPriority w:val="99"/>
    <w:semiHidden/>
    <w:unhideWhenUsed/>
    <w:rsid w:val="008F4508"/>
    <w:rPr>
      <w:color w:val="954F72"/>
      <w:u w:val="single"/>
    </w:rPr>
  </w:style>
  <w:style w:type="paragraph" w:styleId="ListParagraph">
    <w:name w:val="List Paragraph"/>
    <w:basedOn w:val="Normal"/>
    <w:uiPriority w:val="34"/>
    <w:qFormat/>
    <w:rsid w:val="00C1261F"/>
    <w:pPr>
      <w:widowControl/>
      <w:spacing w:after="160" w:line="259" w:lineRule="auto"/>
      <w:ind w:left="720"/>
      <w:contextualSpacing/>
    </w:pPr>
    <w:rPr>
      <w:rFonts w:eastAsia="Calibri"/>
    </w:rPr>
  </w:style>
  <w:style w:type="paragraph" w:customStyle="1" w:styleId="Default">
    <w:name w:val="Default"/>
    <w:rsid w:val="00C1261F"/>
    <w:pPr>
      <w:autoSpaceDE w:val="0"/>
      <w:autoSpaceDN w:val="0"/>
      <w:adjustRightInd w:val="0"/>
    </w:pPr>
    <w:rPr>
      <w:rFonts w:eastAsia="Calibri"/>
      <w:color w:val="000000"/>
      <w:sz w:val="24"/>
      <w:szCs w:val="24"/>
    </w:rPr>
  </w:style>
  <w:style w:type="character" w:customStyle="1" w:styleId="tgc">
    <w:name w:val="_tgc"/>
    <w:rsid w:val="00C1261F"/>
  </w:style>
  <w:style w:type="paragraph" w:styleId="PlainText">
    <w:name w:val="Plain Text"/>
    <w:basedOn w:val="Normal"/>
    <w:link w:val="PlainTextChar"/>
    <w:uiPriority w:val="99"/>
    <w:unhideWhenUsed/>
    <w:rsid w:val="00C8756A"/>
    <w:pPr>
      <w:widowControl/>
    </w:pPr>
    <w:rPr>
      <w:rFonts w:ascii="Calibri" w:hAnsi="Calibri" w:cs="Times New Roman"/>
      <w:sz w:val="22"/>
      <w:szCs w:val="21"/>
    </w:rPr>
  </w:style>
  <w:style w:type="character" w:customStyle="1" w:styleId="PlainTextChar">
    <w:name w:val="Plain Text Char"/>
    <w:link w:val="PlainText"/>
    <w:uiPriority w:val="99"/>
    <w:rsid w:val="00C8756A"/>
    <w:rPr>
      <w:rFonts w:ascii="Calibri" w:hAnsi="Calibri" w:cs="Times New Roman"/>
      <w:sz w:val="22"/>
      <w:szCs w:val="21"/>
    </w:rPr>
  </w:style>
  <w:style w:type="paragraph" w:styleId="NormalWeb">
    <w:name w:val="Normal (Web)"/>
    <w:basedOn w:val="Normal"/>
    <w:uiPriority w:val="99"/>
    <w:unhideWhenUsed/>
    <w:rsid w:val="00F7554F"/>
    <w:pPr>
      <w:widowControl/>
      <w:spacing w:before="100" w:beforeAutospacing="1" w:after="100" w:afterAutospacing="1"/>
    </w:pPr>
    <w:rPr>
      <w:rFonts w:ascii="Times New Roman" w:hAnsi="Times New Roman" w:cs="Times New Roman"/>
    </w:rPr>
  </w:style>
  <w:style w:type="character" w:styleId="Strong">
    <w:name w:val="Strong"/>
    <w:basedOn w:val="DefaultParagraphFont"/>
    <w:uiPriority w:val="22"/>
    <w:qFormat/>
    <w:rsid w:val="00F755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410813">
      <w:bodyDiv w:val="1"/>
      <w:marLeft w:val="0"/>
      <w:marRight w:val="0"/>
      <w:marTop w:val="0"/>
      <w:marBottom w:val="0"/>
      <w:divBdr>
        <w:top w:val="none" w:sz="0" w:space="0" w:color="auto"/>
        <w:left w:val="none" w:sz="0" w:space="0" w:color="auto"/>
        <w:bottom w:val="none" w:sz="0" w:space="0" w:color="auto"/>
        <w:right w:val="none" w:sz="0" w:space="0" w:color="auto"/>
      </w:divBdr>
      <w:divsChild>
        <w:div w:id="169873517">
          <w:marLeft w:val="0"/>
          <w:marRight w:val="0"/>
          <w:marTop w:val="43"/>
          <w:marBottom w:val="43"/>
          <w:divBdr>
            <w:top w:val="none" w:sz="0" w:space="0" w:color="auto"/>
            <w:left w:val="none" w:sz="0" w:space="0" w:color="auto"/>
            <w:bottom w:val="none" w:sz="0" w:space="0" w:color="auto"/>
            <w:right w:val="none" w:sz="0" w:space="0" w:color="auto"/>
          </w:divBdr>
        </w:div>
        <w:div w:id="709036231">
          <w:marLeft w:val="0"/>
          <w:marRight w:val="0"/>
          <w:marTop w:val="43"/>
          <w:marBottom w:val="43"/>
          <w:divBdr>
            <w:top w:val="none" w:sz="0" w:space="0" w:color="auto"/>
            <w:left w:val="none" w:sz="0" w:space="0" w:color="auto"/>
            <w:bottom w:val="none" w:sz="0" w:space="0" w:color="auto"/>
            <w:right w:val="none" w:sz="0" w:space="0" w:color="auto"/>
          </w:divBdr>
        </w:div>
        <w:div w:id="1135753616">
          <w:marLeft w:val="0"/>
          <w:marRight w:val="0"/>
          <w:marTop w:val="43"/>
          <w:marBottom w:val="43"/>
          <w:divBdr>
            <w:top w:val="none" w:sz="0" w:space="0" w:color="auto"/>
            <w:left w:val="none" w:sz="0" w:space="0" w:color="auto"/>
            <w:bottom w:val="none" w:sz="0" w:space="0" w:color="auto"/>
            <w:right w:val="none" w:sz="0" w:space="0" w:color="auto"/>
          </w:divBdr>
        </w:div>
        <w:div w:id="1652784927">
          <w:marLeft w:val="0"/>
          <w:marRight w:val="0"/>
          <w:marTop w:val="43"/>
          <w:marBottom w:val="43"/>
          <w:divBdr>
            <w:top w:val="none" w:sz="0" w:space="0" w:color="auto"/>
            <w:left w:val="none" w:sz="0" w:space="0" w:color="auto"/>
            <w:bottom w:val="none" w:sz="0" w:space="0" w:color="auto"/>
            <w:right w:val="none" w:sz="0" w:space="0" w:color="auto"/>
          </w:divBdr>
        </w:div>
        <w:div w:id="1701587446">
          <w:marLeft w:val="0"/>
          <w:marRight w:val="0"/>
          <w:marTop w:val="43"/>
          <w:marBottom w:val="43"/>
          <w:divBdr>
            <w:top w:val="single" w:sz="6" w:space="0" w:color="DDDDDD"/>
            <w:left w:val="none" w:sz="0" w:space="0" w:color="auto"/>
            <w:bottom w:val="single" w:sz="6" w:space="0" w:color="EEEEEE"/>
            <w:right w:val="none" w:sz="0" w:space="0" w:color="auto"/>
          </w:divBdr>
        </w:div>
        <w:div w:id="1771243853">
          <w:marLeft w:val="0"/>
          <w:marRight w:val="0"/>
          <w:marTop w:val="43"/>
          <w:marBottom w:val="43"/>
          <w:divBdr>
            <w:top w:val="none" w:sz="0" w:space="0" w:color="auto"/>
            <w:left w:val="none" w:sz="0" w:space="0" w:color="auto"/>
            <w:bottom w:val="none" w:sz="0" w:space="0" w:color="auto"/>
            <w:right w:val="none" w:sz="0" w:space="0" w:color="auto"/>
          </w:divBdr>
        </w:div>
      </w:divsChild>
    </w:div>
    <w:div w:id="1506048022">
      <w:bodyDiv w:val="1"/>
      <w:marLeft w:val="0"/>
      <w:marRight w:val="0"/>
      <w:marTop w:val="0"/>
      <w:marBottom w:val="0"/>
      <w:divBdr>
        <w:top w:val="none" w:sz="0" w:space="0" w:color="auto"/>
        <w:left w:val="none" w:sz="0" w:space="0" w:color="auto"/>
        <w:bottom w:val="none" w:sz="0" w:space="0" w:color="auto"/>
        <w:right w:val="none" w:sz="0" w:space="0" w:color="auto"/>
      </w:divBdr>
      <w:divsChild>
        <w:div w:id="47731663">
          <w:marLeft w:val="0"/>
          <w:marRight w:val="0"/>
          <w:marTop w:val="43"/>
          <w:marBottom w:val="43"/>
          <w:divBdr>
            <w:top w:val="none" w:sz="0" w:space="0" w:color="auto"/>
            <w:left w:val="none" w:sz="0" w:space="0" w:color="auto"/>
            <w:bottom w:val="none" w:sz="0" w:space="0" w:color="auto"/>
            <w:right w:val="none" w:sz="0" w:space="0" w:color="auto"/>
          </w:divBdr>
        </w:div>
        <w:div w:id="67390501">
          <w:marLeft w:val="0"/>
          <w:marRight w:val="0"/>
          <w:marTop w:val="43"/>
          <w:marBottom w:val="43"/>
          <w:divBdr>
            <w:top w:val="none" w:sz="0" w:space="0" w:color="auto"/>
            <w:left w:val="none" w:sz="0" w:space="0" w:color="auto"/>
            <w:bottom w:val="none" w:sz="0" w:space="0" w:color="auto"/>
            <w:right w:val="none" w:sz="0" w:space="0" w:color="auto"/>
          </w:divBdr>
        </w:div>
        <w:div w:id="184487110">
          <w:marLeft w:val="0"/>
          <w:marRight w:val="0"/>
          <w:marTop w:val="43"/>
          <w:marBottom w:val="43"/>
          <w:divBdr>
            <w:top w:val="none" w:sz="0" w:space="0" w:color="auto"/>
            <w:left w:val="none" w:sz="0" w:space="0" w:color="auto"/>
            <w:bottom w:val="none" w:sz="0" w:space="0" w:color="auto"/>
            <w:right w:val="none" w:sz="0" w:space="0" w:color="auto"/>
          </w:divBdr>
        </w:div>
        <w:div w:id="1307050740">
          <w:marLeft w:val="0"/>
          <w:marRight w:val="0"/>
          <w:marTop w:val="43"/>
          <w:marBottom w:val="43"/>
          <w:divBdr>
            <w:top w:val="single" w:sz="6" w:space="0" w:color="DDDDDD"/>
            <w:left w:val="none" w:sz="0" w:space="0" w:color="auto"/>
            <w:bottom w:val="single" w:sz="6" w:space="0" w:color="EEEEEE"/>
            <w:right w:val="none" w:sz="0" w:space="0" w:color="auto"/>
          </w:divBdr>
        </w:div>
        <w:div w:id="1359819626">
          <w:marLeft w:val="0"/>
          <w:marRight w:val="0"/>
          <w:marTop w:val="43"/>
          <w:marBottom w:val="43"/>
          <w:divBdr>
            <w:top w:val="none" w:sz="0" w:space="0" w:color="auto"/>
            <w:left w:val="none" w:sz="0" w:space="0" w:color="auto"/>
            <w:bottom w:val="none" w:sz="0" w:space="0" w:color="auto"/>
            <w:right w:val="none" w:sz="0" w:space="0" w:color="auto"/>
          </w:divBdr>
        </w:div>
        <w:div w:id="1841038613">
          <w:marLeft w:val="0"/>
          <w:marRight w:val="0"/>
          <w:marTop w:val="43"/>
          <w:marBottom w:val="43"/>
          <w:divBdr>
            <w:top w:val="none" w:sz="0" w:space="0" w:color="auto"/>
            <w:left w:val="none" w:sz="0" w:space="0" w:color="auto"/>
            <w:bottom w:val="none" w:sz="0" w:space="0" w:color="auto"/>
            <w:right w:val="none" w:sz="0" w:space="0" w:color="auto"/>
          </w:divBdr>
        </w:div>
      </w:divsChild>
    </w:div>
    <w:div w:id="1633248252">
      <w:bodyDiv w:val="1"/>
      <w:marLeft w:val="0"/>
      <w:marRight w:val="0"/>
      <w:marTop w:val="0"/>
      <w:marBottom w:val="0"/>
      <w:divBdr>
        <w:top w:val="none" w:sz="0" w:space="0" w:color="auto"/>
        <w:left w:val="none" w:sz="0" w:space="0" w:color="auto"/>
        <w:bottom w:val="none" w:sz="0" w:space="0" w:color="auto"/>
        <w:right w:val="none" w:sz="0" w:space="0" w:color="auto"/>
      </w:divBdr>
      <w:divsChild>
        <w:div w:id="225653873">
          <w:marLeft w:val="0"/>
          <w:marRight w:val="0"/>
          <w:marTop w:val="0"/>
          <w:marBottom w:val="0"/>
          <w:divBdr>
            <w:top w:val="none" w:sz="0" w:space="0" w:color="auto"/>
            <w:left w:val="none" w:sz="0" w:space="0" w:color="auto"/>
            <w:bottom w:val="none" w:sz="0" w:space="0" w:color="auto"/>
            <w:right w:val="none" w:sz="0" w:space="0" w:color="auto"/>
          </w:divBdr>
          <w:divsChild>
            <w:div w:id="614335168">
              <w:marLeft w:val="0"/>
              <w:marRight w:val="0"/>
              <w:marTop w:val="270"/>
              <w:marBottom w:val="270"/>
              <w:divBdr>
                <w:top w:val="none" w:sz="0" w:space="0" w:color="auto"/>
                <w:left w:val="none" w:sz="0" w:space="0" w:color="auto"/>
                <w:bottom w:val="none" w:sz="0" w:space="0" w:color="auto"/>
                <w:right w:val="none" w:sz="0" w:space="0" w:color="auto"/>
              </w:divBdr>
              <w:divsChild>
                <w:div w:id="183370596">
                  <w:marLeft w:val="0"/>
                  <w:marRight w:val="0"/>
                  <w:marTop w:val="0"/>
                  <w:marBottom w:val="0"/>
                  <w:divBdr>
                    <w:top w:val="none" w:sz="0" w:space="0" w:color="auto"/>
                    <w:left w:val="none" w:sz="0" w:space="0" w:color="auto"/>
                    <w:bottom w:val="none" w:sz="0" w:space="0" w:color="auto"/>
                    <w:right w:val="none" w:sz="0" w:space="0" w:color="auto"/>
                  </w:divBdr>
                  <w:divsChild>
                    <w:div w:id="204105195">
                      <w:marLeft w:val="0"/>
                      <w:marRight w:val="0"/>
                      <w:marTop w:val="0"/>
                      <w:marBottom w:val="0"/>
                      <w:divBdr>
                        <w:top w:val="none" w:sz="0" w:space="0" w:color="auto"/>
                        <w:left w:val="none" w:sz="0" w:space="0" w:color="auto"/>
                        <w:bottom w:val="none" w:sz="0" w:space="0" w:color="auto"/>
                        <w:right w:val="none" w:sz="0" w:space="0" w:color="auto"/>
                      </w:divBdr>
                      <w:divsChild>
                        <w:div w:id="1938753690">
                          <w:marLeft w:val="0"/>
                          <w:marRight w:val="0"/>
                          <w:marTop w:val="0"/>
                          <w:marBottom w:val="225"/>
                          <w:divBdr>
                            <w:top w:val="none" w:sz="0" w:space="0" w:color="auto"/>
                            <w:left w:val="none" w:sz="0" w:space="0" w:color="auto"/>
                            <w:bottom w:val="none" w:sz="0" w:space="0" w:color="auto"/>
                            <w:right w:val="none" w:sz="0" w:space="0" w:color="auto"/>
                          </w:divBdr>
                          <w:divsChild>
                            <w:div w:id="1134524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6953321">
      <w:bodyDiv w:val="1"/>
      <w:marLeft w:val="0"/>
      <w:marRight w:val="0"/>
      <w:marTop w:val="0"/>
      <w:marBottom w:val="0"/>
      <w:divBdr>
        <w:top w:val="none" w:sz="0" w:space="0" w:color="auto"/>
        <w:left w:val="none" w:sz="0" w:space="0" w:color="auto"/>
        <w:bottom w:val="none" w:sz="0" w:space="0" w:color="auto"/>
        <w:right w:val="none" w:sz="0" w:space="0" w:color="auto"/>
      </w:divBdr>
      <w:divsChild>
        <w:div w:id="249847942">
          <w:marLeft w:val="0"/>
          <w:marRight w:val="0"/>
          <w:marTop w:val="43"/>
          <w:marBottom w:val="43"/>
          <w:divBdr>
            <w:top w:val="none" w:sz="0" w:space="0" w:color="auto"/>
            <w:left w:val="none" w:sz="0" w:space="0" w:color="auto"/>
            <w:bottom w:val="none" w:sz="0" w:space="0" w:color="auto"/>
            <w:right w:val="none" w:sz="0" w:space="0" w:color="auto"/>
          </w:divBdr>
        </w:div>
        <w:div w:id="263848432">
          <w:marLeft w:val="0"/>
          <w:marRight w:val="0"/>
          <w:marTop w:val="43"/>
          <w:marBottom w:val="43"/>
          <w:divBdr>
            <w:top w:val="none" w:sz="0" w:space="0" w:color="auto"/>
            <w:left w:val="none" w:sz="0" w:space="0" w:color="auto"/>
            <w:bottom w:val="none" w:sz="0" w:space="0" w:color="auto"/>
            <w:right w:val="none" w:sz="0" w:space="0" w:color="auto"/>
          </w:divBdr>
        </w:div>
        <w:div w:id="637686993">
          <w:marLeft w:val="0"/>
          <w:marRight w:val="0"/>
          <w:marTop w:val="43"/>
          <w:marBottom w:val="43"/>
          <w:divBdr>
            <w:top w:val="none" w:sz="0" w:space="0" w:color="auto"/>
            <w:left w:val="none" w:sz="0" w:space="0" w:color="auto"/>
            <w:bottom w:val="none" w:sz="0" w:space="0" w:color="auto"/>
            <w:right w:val="none" w:sz="0" w:space="0" w:color="auto"/>
          </w:divBdr>
        </w:div>
        <w:div w:id="2109038219">
          <w:marLeft w:val="0"/>
          <w:marRight w:val="0"/>
          <w:marTop w:val="43"/>
          <w:marBottom w:val="43"/>
          <w:divBdr>
            <w:top w:val="none" w:sz="0" w:space="0" w:color="auto"/>
            <w:left w:val="none" w:sz="0" w:space="0" w:color="auto"/>
            <w:bottom w:val="none" w:sz="0" w:space="0" w:color="auto"/>
            <w:right w:val="none" w:sz="0" w:space="0" w:color="auto"/>
          </w:divBdr>
        </w:div>
      </w:divsChild>
    </w:div>
    <w:div w:id="1884826698">
      <w:bodyDiv w:val="1"/>
      <w:marLeft w:val="0"/>
      <w:marRight w:val="0"/>
      <w:marTop w:val="0"/>
      <w:marBottom w:val="0"/>
      <w:divBdr>
        <w:top w:val="none" w:sz="0" w:space="0" w:color="auto"/>
        <w:left w:val="none" w:sz="0" w:space="0" w:color="auto"/>
        <w:bottom w:val="none" w:sz="0" w:space="0" w:color="auto"/>
        <w:right w:val="none" w:sz="0" w:space="0" w:color="auto"/>
      </w:divBdr>
      <w:divsChild>
        <w:div w:id="863246144">
          <w:marLeft w:val="0"/>
          <w:marRight w:val="0"/>
          <w:marTop w:val="0"/>
          <w:marBottom w:val="0"/>
          <w:divBdr>
            <w:top w:val="none" w:sz="0" w:space="0" w:color="auto"/>
            <w:left w:val="none" w:sz="0" w:space="0" w:color="auto"/>
            <w:bottom w:val="none" w:sz="0" w:space="0" w:color="auto"/>
            <w:right w:val="none" w:sz="0" w:space="0" w:color="auto"/>
          </w:divBdr>
          <w:divsChild>
            <w:div w:id="1233615975">
              <w:marLeft w:val="0"/>
              <w:marRight w:val="0"/>
              <w:marTop w:val="270"/>
              <w:marBottom w:val="270"/>
              <w:divBdr>
                <w:top w:val="none" w:sz="0" w:space="0" w:color="auto"/>
                <w:left w:val="none" w:sz="0" w:space="0" w:color="auto"/>
                <w:bottom w:val="none" w:sz="0" w:space="0" w:color="auto"/>
                <w:right w:val="none" w:sz="0" w:space="0" w:color="auto"/>
              </w:divBdr>
              <w:divsChild>
                <w:div w:id="998384868">
                  <w:marLeft w:val="0"/>
                  <w:marRight w:val="0"/>
                  <w:marTop w:val="0"/>
                  <w:marBottom w:val="0"/>
                  <w:divBdr>
                    <w:top w:val="none" w:sz="0" w:space="0" w:color="auto"/>
                    <w:left w:val="none" w:sz="0" w:space="0" w:color="auto"/>
                    <w:bottom w:val="none" w:sz="0" w:space="0" w:color="auto"/>
                    <w:right w:val="none" w:sz="0" w:space="0" w:color="auto"/>
                  </w:divBdr>
                  <w:divsChild>
                    <w:div w:id="1195928468">
                      <w:marLeft w:val="0"/>
                      <w:marRight w:val="0"/>
                      <w:marTop w:val="0"/>
                      <w:marBottom w:val="0"/>
                      <w:divBdr>
                        <w:top w:val="none" w:sz="0" w:space="0" w:color="auto"/>
                        <w:left w:val="none" w:sz="0" w:space="0" w:color="auto"/>
                        <w:bottom w:val="none" w:sz="0" w:space="0" w:color="auto"/>
                        <w:right w:val="none" w:sz="0" w:space="0" w:color="auto"/>
                      </w:divBdr>
                      <w:divsChild>
                        <w:div w:id="1343778405">
                          <w:marLeft w:val="0"/>
                          <w:marRight w:val="0"/>
                          <w:marTop w:val="0"/>
                          <w:marBottom w:val="225"/>
                          <w:divBdr>
                            <w:top w:val="none" w:sz="0" w:space="0" w:color="auto"/>
                            <w:left w:val="none" w:sz="0" w:space="0" w:color="auto"/>
                            <w:bottom w:val="none" w:sz="0" w:space="0" w:color="auto"/>
                            <w:right w:val="none" w:sz="0" w:space="0" w:color="auto"/>
                          </w:divBdr>
                          <w:divsChild>
                            <w:div w:id="89670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9964479">
      <w:bodyDiv w:val="1"/>
      <w:marLeft w:val="0"/>
      <w:marRight w:val="0"/>
      <w:marTop w:val="0"/>
      <w:marBottom w:val="0"/>
      <w:divBdr>
        <w:top w:val="none" w:sz="0" w:space="0" w:color="auto"/>
        <w:left w:val="none" w:sz="0" w:space="0" w:color="auto"/>
        <w:bottom w:val="none" w:sz="0" w:space="0" w:color="auto"/>
        <w:right w:val="none" w:sz="0" w:space="0" w:color="auto"/>
      </w:divBdr>
      <w:divsChild>
        <w:div w:id="72898851">
          <w:marLeft w:val="0"/>
          <w:marRight w:val="0"/>
          <w:marTop w:val="43"/>
          <w:marBottom w:val="43"/>
          <w:divBdr>
            <w:top w:val="none" w:sz="0" w:space="0" w:color="auto"/>
            <w:left w:val="none" w:sz="0" w:space="0" w:color="auto"/>
            <w:bottom w:val="none" w:sz="0" w:space="0" w:color="auto"/>
            <w:right w:val="none" w:sz="0" w:space="0" w:color="auto"/>
          </w:divBdr>
        </w:div>
        <w:div w:id="73549666">
          <w:marLeft w:val="0"/>
          <w:marRight w:val="0"/>
          <w:marTop w:val="43"/>
          <w:marBottom w:val="43"/>
          <w:divBdr>
            <w:top w:val="none" w:sz="0" w:space="0" w:color="auto"/>
            <w:left w:val="none" w:sz="0" w:space="0" w:color="auto"/>
            <w:bottom w:val="none" w:sz="0" w:space="0" w:color="auto"/>
            <w:right w:val="none" w:sz="0" w:space="0" w:color="auto"/>
          </w:divBdr>
        </w:div>
        <w:div w:id="297492186">
          <w:marLeft w:val="0"/>
          <w:marRight w:val="0"/>
          <w:marTop w:val="43"/>
          <w:marBottom w:val="43"/>
          <w:divBdr>
            <w:top w:val="none" w:sz="0" w:space="0" w:color="auto"/>
            <w:left w:val="none" w:sz="0" w:space="0" w:color="auto"/>
            <w:bottom w:val="none" w:sz="0" w:space="0" w:color="auto"/>
            <w:right w:val="none" w:sz="0" w:space="0" w:color="auto"/>
          </w:divBdr>
        </w:div>
        <w:div w:id="1040546467">
          <w:marLeft w:val="0"/>
          <w:marRight w:val="0"/>
          <w:marTop w:val="43"/>
          <w:marBottom w:val="43"/>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Other%20Documents\Resolutio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Resolution</Template>
  <TotalTime>189</TotalTime>
  <Pages>2</Pages>
  <Words>726</Words>
  <Characters>4004</Characters>
  <Application>Microsoft Office Word</Application>
  <DocSecurity>0</DocSecurity>
  <Lines>154</Lines>
  <Paragraphs>80</Paragraphs>
  <ScaleCrop>false</ScaleCrop>
  <Company>Milwaukee County</Company>
  <LinksUpToDate>false</LinksUpToDate>
  <CharactersWithSpaces>4650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County Board of Supervisors</dc:creator>
  <cp:keywords/>
  <cp:lastModifiedBy>Jane Geyer</cp:lastModifiedBy>
  <cp:revision>34</cp:revision>
  <cp:lastPrinted>2017-09-06T21:36:00Z</cp:lastPrinted>
  <dcterms:created xsi:type="dcterms:W3CDTF">2026-05-13T19:23:00Z</dcterms:created>
  <dcterms:modified xsi:type="dcterms:W3CDTF">2026-05-14T15:17:00Z</dcterms:modified>
</cp:coreProperties>
</file>