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7FFBC" w14:textId="106668DA" w:rsidR="00CC49CB" w:rsidRPr="001C6D4D" w:rsidRDefault="000913B5" w:rsidP="000913B5">
      <w:pPr>
        <w:pStyle w:val="Heading1"/>
        <w:ind w:firstLine="270"/>
        <w:jc w:val="right"/>
        <w:rPr>
          <w:rFonts w:ascii="Arial" w:hAnsi="Arial" w:cs="Arial"/>
        </w:rPr>
      </w:pPr>
      <w:r w:rsidRPr="3FBB9884">
        <w:rPr>
          <w:rFonts w:ascii="Arial" w:hAnsi="Arial" w:cs="Arial"/>
        </w:rPr>
        <w:t>F</w:t>
      </w:r>
      <w:r w:rsidR="21CA8C92" w:rsidRPr="3FBB9884">
        <w:rPr>
          <w:rFonts w:ascii="Arial" w:hAnsi="Arial" w:cs="Arial"/>
        </w:rPr>
        <w:t>ile No. 2</w:t>
      </w:r>
      <w:r w:rsidR="00081326">
        <w:rPr>
          <w:rFonts w:ascii="Arial" w:hAnsi="Arial" w:cs="Arial"/>
        </w:rPr>
        <w:t>6</w:t>
      </w:r>
      <w:r w:rsidR="21CA8C92" w:rsidRPr="3FBB9884">
        <w:rPr>
          <w:rFonts w:ascii="Arial" w:hAnsi="Arial" w:cs="Arial"/>
        </w:rPr>
        <w:t>-</w:t>
      </w:r>
      <w:r w:rsidRPr="3FBB9884">
        <w:rPr>
          <w:rFonts w:ascii="Arial" w:hAnsi="Arial" w:cs="Arial"/>
        </w:rPr>
        <w:t>XXX</w:t>
      </w:r>
    </w:p>
    <w:p w14:paraId="37A7FFBE" w14:textId="4D8A50C5" w:rsidR="00CC49CB" w:rsidRPr="001C6D4D" w:rsidRDefault="00CC49CB">
      <w:pPr>
        <w:widowControl w:val="0"/>
        <w:rPr>
          <w:rFonts w:ascii="Arial" w:hAnsi="Arial" w:cs="Arial"/>
          <w:snapToGrid w:val="0"/>
          <w:sz w:val="24"/>
          <w:szCs w:val="24"/>
        </w:rPr>
      </w:pPr>
    </w:p>
    <w:p w14:paraId="63795436" w14:textId="6E0BCB57" w:rsidR="000458BD" w:rsidRPr="000458BD" w:rsidRDefault="00294825" w:rsidP="4299B0A9">
      <w:pPr>
        <w:widowControl w:val="0"/>
        <w:rPr>
          <w:rFonts w:ascii="Arial" w:eastAsia="Arial" w:hAnsi="Arial" w:cs="Arial"/>
          <w:color w:val="000000" w:themeColor="text1"/>
          <w:sz w:val="24"/>
          <w:szCs w:val="24"/>
        </w:rPr>
      </w:pPr>
      <w:r w:rsidRPr="00587BBE">
        <w:rPr>
          <w:rFonts w:ascii="Arial" w:hAnsi="Arial" w:cs="Arial"/>
          <w:snapToGrid w:val="0"/>
          <w:sz w:val="24"/>
          <w:szCs w:val="24"/>
        </w:rPr>
        <w:t>(IT</w:t>
      </w:r>
      <w:r w:rsidR="00AD37C6">
        <w:rPr>
          <w:rFonts w:ascii="Arial" w:hAnsi="Arial" w:cs="Arial"/>
          <w:snapToGrid w:val="0"/>
          <w:sz w:val="24"/>
          <w:szCs w:val="24"/>
        </w:rPr>
        <w:t xml:space="preserve">EM NO.    )  </w:t>
      </w:r>
      <w:r w:rsidR="260D7099" w:rsidRPr="4299B0A9">
        <w:rPr>
          <w:rFonts w:ascii="Arial" w:eastAsia="Arial" w:hAnsi="Arial" w:cs="Arial"/>
          <w:color w:val="000000" w:themeColor="text1"/>
          <w:sz w:val="24"/>
          <w:szCs w:val="24"/>
        </w:rPr>
        <w:t xml:space="preserve">From the Executive Director of Milwaukee County Parks, requesting authorization to grant an easement to American Transmission Company (ATC) on County-owned land </w:t>
      </w:r>
      <w:r w:rsidR="000458BD">
        <w:rPr>
          <w:rFonts w:ascii="Arial" w:eastAsia="Arial" w:hAnsi="Arial" w:cs="Arial"/>
          <w:color w:val="000000" w:themeColor="text1"/>
          <w:sz w:val="24"/>
          <w:szCs w:val="24"/>
        </w:rPr>
        <w:t>adjacent to</w:t>
      </w:r>
      <w:r w:rsidR="260D7099" w:rsidRPr="4299B0A9">
        <w:rPr>
          <w:rFonts w:ascii="Arial" w:eastAsia="Arial" w:hAnsi="Arial" w:cs="Arial"/>
          <w:color w:val="000000" w:themeColor="text1"/>
          <w:sz w:val="24"/>
          <w:szCs w:val="24"/>
        </w:rPr>
        <w:t xml:space="preserve"> Silver Spring Drive and </w:t>
      </w:r>
      <w:r w:rsidR="000458BD">
        <w:rPr>
          <w:rFonts w:ascii="Arial" w:eastAsia="Arial" w:hAnsi="Arial" w:cs="Arial"/>
          <w:color w:val="000000" w:themeColor="text1"/>
          <w:sz w:val="24"/>
          <w:szCs w:val="24"/>
        </w:rPr>
        <w:t>I-41.</w:t>
      </w:r>
    </w:p>
    <w:p w14:paraId="37A7FFC0" w14:textId="2B81A916" w:rsidR="00CC49CB" w:rsidRPr="00843A89" w:rsidRDefault="00CC49CB" w:rsidP="4299B0A9">
      <w:pPr>
        <w:widowControl w:val="0"/>
        <w:rPr>
          <w:rFonts w:ascii="Arial" w:hAnsi="Arial" w:cs="Arial"/>
          <w:snapToGrid w:val="0"/>
          <w:sz w:val="24"/>
          <w:szCs w:val="24"/>
        </w:rPr>
      </w:pPr>
    </w:p>
    <w:p w14:paraId="37A7FFC1" w14:textId="1AFC5D93" w:rsidR="00CC49CB" w:rsidRPr="00843A89" w:rsidRDefault="00E71881">
      <w:pPr>
        <w:pStyle w:val="Heading2"/>
        <w:rPr>
          <w:rFonts w:ascii="Arial" w:hAnsi="Arial" w:cs="Arial"/>
          <w:b/>
          <w:szCs w:val="24"/>
        </w:rPr>
      </w:pPr>
      <w:r>
        <w:rPr>
          <w:rFonts w:ascii="Arial" w:hAnsi="Arial" w:cs="Arial"/>
          <w:b/>
          <w:szCs w:val="24"/>
        </w:rPr>
        <w:t xml:space="preserve">A </w:t>
      </w:r>
      <w:r w:rsidR="00294825" w:rsidRPr="00843A89">
        <w:rPr>
          <w:rFonts w:ascii="Arial" w:hAnsi="Arial" w:cs="Arial"/>
          <w:b/>
          <w:szCs w:val="24"/>
        </w:rPr>
        <w:t>RESOLUTION</w:t>
      </w:r>
    </w:p>
    <w:p w14:paraId="37A7FFC2" w14:textId="77777777" w:rsidR="00701A37" w:rsidRPr="00701A37" w:rsidRDefault="00701A37" w:rsidP="00701A37">
      <w:pPr>
        <w:rPr>
          <w:rFonts w:ascii="Arial" w:hAnsi="Arial" w:cs="Arial"/>
          <w:sz w:val="24"/>
          <w:szCs w:val="24"/>
          <w:u w:val="single"/>
        </w:rPr>
      </w:pPr>
    </w:p>
    <w:p w14:paraId="0AE1E77A" w14:textId="02204D4B" w:rsidR="5E3E70D0" w:rsidRDefault="4B5B4772"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the Mill Road–Granville Transmission Line Project is being constructed to strengthen the regional electric grid, improve system reliability, and meet increasing energy demand from existing customers as well as new large-scale electrical loads; and</w:t>
      </w:r>
    </w:p>
    <w:p w14:paraId="29FB2B9E" w14:textId="6767F855" w:rsidR="5E3E70D0" w:rsidRDefault="4B5B4772"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the project upgrades aging transmission infrastructure, adds a new substation, and prevents violations of mandatory electrical reliability standards; and</w:t>
      </w:r>
    </w:p>
    <w:p w14:paraId="68AA1E5D" w14:textId="68A96CD2" w:rsidR="5E3E70D0" w:rsidRDefault="4B5B4772"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the Public Service Commission of Wisconsin (PSC) has formally determined that the project is necessary to ensure an adequate and reliable supply of electric power for the region, making it critical to regional grid stability, public safety, and economic development capacity in </w:t>
      </w:r>
      <w:r w:rsidR="00C5383A">
        <w:rPr>
          <w:rFonts w:ascii="Arial" w:eastAsia="Arial" w:hAnsi="Arial" w:cs="Arial"/>
          <w:sz w:val="24"/>
          <w:szCs w:val="24"/>
        </w:rPr>
        <w:t>S</w:t>
      </w:r>
      <w:r w:rsidRPr="4299B0A9">
        <w:rPr>
          <w:rFonts w:ascii="Arial" w:eastAsia="Arial" w:hAnsi="Arial" w:cs="Arial"/>
          <w:sz w:val="24"/>
          <w:szCs w:val="24"/>
        </w:rPr>
        <w:t>outheastern Wisconsin; and</w:t>
      </w:r>
    </w:p>
    <w:p w14:paraId="3FF34D2F" w14:textId="6613AC1F" w:rsidR="5E3E70D0" w:rsidRDefault="4B5B4772"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the PSC required American Transmission Company (ATC) to evaluate multiple alternatives, including alternative transmission configurations, non-transmission solutions, energy efficiency and demand response measures, a no-build option, and multiple route and corridor alignments; and</w:t>
      </w:r>
    </w:p>
    <w:p w14:paraId="170B0FDB" w14:textId="7A233D89" w:rsidR="5E3E70D0" w:rsidRDefault="4B5B4772"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the PSC rejected a more expensive alternative transmission build due to higher costs, greater environmental impacts, and increased right-of-way needs; found non-transmission options infeasible due to timing, capacity, location, and regulatory constraints; determined energy efficiency and demand response measures insufficient; and rejected the no-build option because it would leave the system in violation of reliability standards; and</w:t>
      </w:r>
    </w:p>
    <w:p w14:paraId="5A70EFC1" w14:textId="4494CE85" w:rsidR="5E3E70D0" w:rsidRDefault="4B5B4772"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after evaluating corridor and route alternatives, the PSC approved the Primary Route as it best satisfied statutory requirements by utilizing existing corridors, minimizing environmental and community impacts, reducing new right-of-way needs, and complying with Wisconsin’s Energy Priorities Law, with no higher-priority alternative that is cost-effective, technically feasible, and environmentally sound; and</w:t>
      </w:r>
    </w:p>
    <w:p w14:paraId="1D3CA54F" w14:textId="7AAB1222" w:rsidR="5E3E70D0" w:rsidRDefault="5C2210CC"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if granted, the electric easement would be permanent and provide Milwaukee County with a one-time revenue payment of $77,974.40, calculated at $1.60 per square foot for the total easement area of 48,734 square feet (48,734 × $1.60 = $77,974.40), ensuring ATC’s continued access and operation of the transmission facilities while securing fair compensation for the County;</w:t>
      </w:r>
      <w:r w:rsidR="007348CC">
        <w:rPr>
          <w:rFonts w:ascii="Arial" w:eastAsia="Arial" w:hAnsi="Arial" w:cs="Arial"/>
          <w:sz w:val="24"/>
          <w:szCs w:val="24"/>
        </w:rPr>
        <w:t xml:space="preserve"> and</w:t>
      </w:r>
    </w:p>
    <w:p w14:paraId="49FFFD90" w14:textId="077F213E" w:rsidR="5E3E70D0" w:rsidRDefault="4B5B4772" w:rsidP="00373A44">
      <w:pPr>
        <w:spacing w:before="240" w:after="240"/>
        <w:ind w:firstLine="720"/>
      </w:pPr>
      <w:r w:rsidRPr="4299B0A9">
        <w:rPr>
          <w:rFonts w:ascii="Arial" w:eastAsia="Arial" w:hAnsi="Arial" w:cs="Arial"/>
          <w:b/>
          <w:bCs/>
          <w:sz w:val="24"/>
          <w:szCs w:val="24"/>
        </w:rPr>
        <w:t>WHEREAS,</w:t>
      </w:r>
      <w:r w:rsidRPr="4299B0A9">
        <w:rPr>
          <w:rFonts w:ascii="Arial" w:eastAsia="Arial" w:hAnsi="Arial" w:cs="Arial"/>
          <w:sz w:val="24"/>
          <w:szCs w:val="24"/>
        </w:rPr>
        <w:t xml:space="preserve"> based on the PSC’s findings and determinations, and to ensure compliance with state regulatory approvals and regional grid reliability, the Director of </w:t>
      </w:r>
      <w:r w:rsidRPr="4299B0A9">
        <w:rPr>
          <w:rFonts w:ascii="Arial" w:eastAsia="Arial" w:hAnsi="Arial" w:cs="Arial"/>
          <w:sz w:val="24"/>
          <w:szCs w:val="24"/>
        </w:rPr>
        <w:lastRenderedPageBreak/>
        <w:t>Milwaukee County Parks recommends that Milwaukee County Parks, in coordination with the Department of Administrative Services, Corporation Counsel, Risk Management, County Clerk, Register of Deeds, and County Executive, be authorized to prepare, review, approve, execute, and record all necessary documents to formalize an electric easement agreement with ATC; and</w:t>
      </w:r>
    </w:p>
    <w:p w14:paraId="6F293C11" w14:textId="77645889" w:rsidR="5E3E70D0" w:rsidRDefault="277D7A27" w:rsidP="00373A44">
      <w:pPr>
        <w:spacing w:before="240" w:after="240"/>
        <w:ind w:firstLine="720"/>
        <w:rPr>
          <w:rFonts w:ascii="Arial" w:eastAsia="Arial" w:hAnsi="Arial" w:cs="Arial"/>
          <w:sz w:val="24"/>
          <w:szCs w:val="24"/>
        </w:rPr>
      </w:pPr>
      <w:r w:rsidRPr="4299B0A9">
        <w:rPr>
          <w:rFonts w:ascii="Arial" w:eastAsia="Arial" w:hAnsi="Arial" w:cs="Arial"/>
          <w:b/>
          <w:bCs/>
          <w:sz w:val="24"/>
          <w:szCs w:val="24"/>
        </w:rPr>
        <w:t>BE IT RESOLVED,</w:t>
      </w:r>
      <w:r w:rsidRPr="4299B0A9">
        <w:rPr>
          <w:rFonts w:ascii="Arial" w:eastAsia="Arial" w:hAnsi="Arial" w:cs="Arial"/>
          <w:sz w:val="24"/>
          <w:szCs w:val="24"/>
        </w:rPr>
        <w:t xml:space="preserve"> that the Milwaukee County Board of Supervisors hereby authorizes the Parks Director, Department of Administrative Services, Corporation Counsel, Risk Management, County Clerk, and the Register of Deeds to prepare, review, approve, execute, amend, and record all necessary documents and take any actions required to grant a permanent electric easement to American Transmission Company (ATC) for the construction, operation, and maintenance of electric service infrastructure within Milwaukee County; and</w:t>
      </w:r>
    </w:p>
    <w:p w14:paraId="78BA09EB" w14:textId="5DCED3A8" w:rsidR="5E3E70D0" w:rsidRDefault="277D7A27" w:rsidP="00373A44">
      <w:pPr>
        <w:spacing w:before="240" w:after="240"/>
        <w:ind w:firstLine="720"/>
      </w:pPr>
      <w:r w:rsidRPr="4299B0A9">
        <w:rPr>
          <w:rFonts w:ascii="Arial" w:eastAsia="Arial" w:hAnsi="Arial" w:cs="Arial"/>
          <w:b/>
          <w:bCs/>
          <w:sz w:val="24"/>
          <w:szCs w:val="24"/>
        </w:rPr>
        <w:t>BE IT FURTHER RESOLVED,</w:t>
      </w:r>
      <w:r w:rsidRPr="4299B0A9">
        <w:rPr>
          <w:rFonts w:ascii="Arial" w:eastAsia="Arial" w:hAnsi="Arial" w:cs="Arial"/>
          <w:sz w:val="24"/>
          <w:szCs w:val="24"/>
        </w:rPr>
        <w:t xml:space="preserve"> that if granted, ATC shall compensate Milwaukee County with a one-time payment of $77,974.40, based on a rate of $1.60 per square foot for the 48,734 square foot easement area (48,734 × $1.60 = $77,974.40); and</w:t>
      </w:r>
    </w:p>
    <w:p w14:paraId="1DB94ABA" w14:textId="7A612A2C" w:rsidR="5E3E70D0" w:rsidRDefault="277D7A27" w:rsidP="00373A44">
      <w:pPr>
        <w:spacing w:before="240" w:after="240"/>
        <w:ind w:firstLine="720"/>
      </w:pPr>
      <w:r w:rsidRPr="4299B0A9">
        <w:rPr>
          <w:rFonts w:ascii="Arial" w:eastAsia="Arial" w:hAnsi="Arial" w:cs="Arial"/>
          <w:b/>
          <w:bCs/>
          <w:sz w:val="24"/>
          <w:szCs w:val="24"/>
        </w:rPr>
        <w:t>BE IT FURTHER RESOLVED,</w:t>
      </w:r>
      <w:r w:rsidRPr="4299B0A9">
        <w:rPr>
          <w:rFonts w:ascii="Arial" w:eastAsia="Arial" w:hAnsi="Arial" w:cs="Arial"/>
          <w:sz w:val="24"/>
          <w:szCs w:val="24"/>
        </w:rPr>
        <w:t xml:space="preserve"> that the Milwaukee County Executive and County Clerk are authorized to execute, amend, and record the easement and all other documents necessary to carry out the intent of this resolution, and by doing so affirm that they are executing such documents with the proper authority on behalf of Milwaukee County.</w:t>
      </w:r>
    </w:p>
    <w:p w14:paraId="412C0639" w14:textId="3C92C1F0" w:rsidR="5E3E70D0" w:rsidRDefault="5E3E70D0" w:rsidP="4299B0A9">
      <w:pPr>
        <w:spacing w:before="240" w:after="240"/>
        <w:rPr>
          <w:rFonts w:ascii="Arial" w:eastAsia="Arial" w:hAnsi="Arial" w:cs="Arial"/>
          <w:sz w:val="24"/>
          <w:szCs w:val="24"/>
        </w:rPr>
      </w:pPr>
    </w:p>
    <w:p w14:paraId="24112A4C" w14:textId="543AC8F7" w:rsidR="5E3E70D0" w:rsidRDefault="5E3E70D0" w:rsidP="5E3E70D0">
      <w:pPr>
        <w:ind w:firstLine="720"/>
        <w:rPr>
          <w:rFonts w:ascii="Arial" w:hAnsi="Arial" w:cs="Arial"/>
          <w:sz w:val="24"/>
          <w:szCs w:val="24"/>
        </w:rPr>
      </w:pPr>
    </w:p>
    <w:sectPr w:rsidR="5E3E70D0" w:rsidSect="00843A89">
      <w:headerReference w:type="even" r:id="rId7"/>
      <w:headerReference w:type="default" r:id="rId8"/>
      <w:footerReference w:type="even" r:id="rId9"/>
      <w:footerReference w:type="default" r:id="rId10"/>
      <w:headerReference w:type="first" r:id="rId11"/>
      <w:footerReference w:type="first" r:id="rId12"/>
      <w:pgSz w:w="12240" w:h="15840" w:code="1"/>
      <w:pgMar w:top="1440" w:right="720" w:bottom="1440" w:left="2160" w:header="720" w:footer="72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F2A1D" w14:textId="77777777" w:rsidR="009D7E3B" w:rsidRDefault="009D7E3B">
      <w:r>
        <w:separator/>
      </w:r>
    </w:p>
  </w:endnote>
  <w:endnote w:type="continuationSeparator" w:id="0">
    <w:p w14:paraId="1124A77B" w14:textId="77777777" w:rsidR="009D7E3B" w:rsidRDefault="009D7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FFE6" w14:textId="77777777" w:rsidR="00CC49CB" w:rsidRDefault="002161D7">
    <w:pPr>
      <w:pStyle w:val="Footer"/>
      <w:framePr w:wrap="around" w:vAnchor="text" w:hAnchor="margin" w:xAlign="center" w:y="1"/>
      <w:rPr>
        <w:rStyle w:val="PageNumber"/>
      </w:rPr>
    </w:pPr>
    <w:r>
      <w:rPr>
        <w:rStyle w:val="PageNumber"/>
      </w:rPr>
      <w:fldChar w:fldCharType="begin"/>
    </w:r>
    <w:r w:rsidR="00294825">
      <w:rPr>
        <w:rStyle w:val="PageNumber"/>
      </w:rPr>
      <w:instrText xml:space="preserve">PAGE  </w:instrText>
    </w:r>
    <w:r>
      <w:rPr>
        <w:rStyle w:val="PageNumber"/>
      </w:rPr>
      <w:fldChar w:fldCharType="separate"/>
    </w:r>
    <w:r w:rsidR="00294825">
      <w:rPr>
        <w:rStyle w:val="PageNumber"/>
        <w:noProof/>
      </w:rPr>
      <w:t>3</w:t>
    </w:r>
    <w:r>
      <w:rPr>
        <w:rStyle w:val="PageNumber"/>
      </w:rPr>
      <w:fldChar w:fldCharType="end"/>
    </w:r>
  </w:p>
  <w:p w14:paraId="37A7FFE7" w14:textId="77777777" w:rsidR="00CC49CB" w:rsidRDefault="00CC49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BA5A" w14:textId="29599887" w:rsidR="33039ED0" w:rsidRDefault="33039ED0" w:rsidP="33039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BD117" w14:textId="77777777" w:rsidR="000913B5" w:rsidRDefault="00091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CB262" w14:textId="77777777" w:rsidR="009D7E3B" w:rsidRDefault="009D7E3B">
      <w:r>
        <w:separator/>
      </w:r>
    </w:p>
  </w:footnote>
  <w:footnote w:type="continuationSeparator" w:id="0">
    <w:p w14:paraId="1E172FEE" w14:textId="77777777" w:rsidR="009D7E3B" w:rsidRDefault="009D7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5005" w14:textId="29C2DB3F" w:rsidR="00DB6D49" w:rsidRDefault="00DB6D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957A" w14:textId="3361BD41" w:rsidR="00DB6D49" w:rsidRDefault="00DB6D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E5931" w14:textId="6E68138C" w:rsidR="00DB6D49" w:rsidRDefault="00DB6D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8E4"/>
    <w:multiLevelType w:val="hybridMultilevel"/>
    <w:tmpl w:val="106EA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A941D0"/>
    <w:multiLevelType w:val="hybridMultilevel"/>
    <w:tmpl w:val="F6D629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82D67CA"/>
    <w:multiLevelType w:val="hybridMultilevel"/>
    <w:tmpl w:val="E1A6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4E26A6"/>
    <w:multiLevelType w:val="hybridMultilevel"/>
    <w:tmpl w:val="BBB2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9755439">
    <w:abstractNumId w:val="1"/>
  </w:num>
  <w:num w:numId="2" w16cid:durableId="1895310069">
    <w:abstractNumId w:val="2"/>
  </w:num>
  <w:num w:numId="3" w16cid:durableId="41485466">
    <w:abstractNumId w:val="3"/>
  </w:num>
  <w:num w:numId="4" w16cid:durableId="982274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077"/>
    <w:rsid w:val="000458BD"/>
    <w:rsid w:val="00053AF2"/>
    <w:rsid w:val="00075442"/>
    <w:rsid w:val="00076AFD"/>
    <w:rsid w:val="00076FB6"/>
    <w:rsid w:val="00081326"/>
    <w:rsid w:val="000913B5"/>
    <w:rsid w:val="000C34EE"/>
    <w:rsid w:val="001C6D4D"/>
    <w:rsid w:val="001D088B"/>
    <w:rsid w:val="001E0F69"/>
    <w:rsid w:val="00200C7C"/>
    <w:rsid w:val="002161D7"/>
    <w:rsid w:val="002420EE"/>
    <w:rsid w:val="00271B7F"/>
    <w:rsid w:val="002858F1"/>
    <w:rsid w:val="00294825"/>
    <w:rsid w:val="002A556F"/>
    <w:rsid w:val="002D2B7F"/>
    <w:rsid w:val="0033665C"/>
    <w:rsid w:val="003667A4"/>
    <w:rsid w:val="00373A44"/>
    <w:rsid w:val="003C3352"/>
    <w:rsid w:val="003D2573"/>
    <w:rsid w:val="00406F80"/>
    <w:rsid w:val="004A2108"/>
    <w:rsid w:val="004A3687"/>
    <w:rsid w:val="004D258D"/>
    <w:rsid w:val="004D4E0F"/>
    <w:rsid w:val="00512D82"/>
    <w:rsid w:val="0052217C"/>
    <w:rsid w:val="0053367E"/>
    <w:rsid w:val="0055593E"/>
    <w:rsid w:val="005564C8"/>
    <w:rsid w:val="00587BBE"/>
    <w:rsid w:val="00595E7D"/>
    <w:rsid w:val="005A09D8"/>
    <w:rsid w:val="005A4551"/>
    <w:rsid w:val="005B4EDC"/>
    <w:rsid w:val="005F6DA6"/>
    <w:rsid w:val="00600B3D"/>
    <w:rsid w:val="0060589E"/>
    <w:rsid w:val="00614503"/>
    <w:rsid w:val="00626F87"/>
    <w:rsid w:val="00642EFD"/>
    <w:rsid w:val="00643927"/>
    <w:rsid w:val="00650374"/>
    <w:rsid w:val="0068343A"/>
    <w:rsid w:val="006970E9"/>
    <w:rsid w:val="006D5813"/>
    <w:rsid w:val="006F269D"/>
    <w:rsid w:val="006F5BE9"/>
    <w:rsid w:val="00701A37"/>
    <w:rsid w:val="00702820"/>
    <w:rsid w:val="00712E78"/>
    <w:rsid w:val="007348CC"/>
    <w:rsid w:val="00741590"/>
    <w:rsid w:val="007B6072"/>
    <w:rsid w:val="007D7077"/>
    <w:rsid w:val="007E4B94"/>
    <w:rsid w:val="007F4D3E"/>
    <w:rsid w:val="00843A89"/>
    <w:rsid w:val="00855C11"/>
    <w:rsid w:val="0089295D"/>
    <w:rsid w:val="00964889"/>
    <w:rsid w:val="009D2729"/>
    <w:rsid w:val="009D7E3B"/>
    <w:rsid w:val="00A46F99"/>
    <w:rsid w:val="00A7044F"/>
    <w:rsid w:val="00A85CE0"/>
    <w:rsid w:val="00AB3A1A"/>
    <w:rsid w:val="00AC39ED"/>
    <w:rsid w:val="00AC5372"/>
    <w:rsid w:val="00AD37C6"/>
    <w:rsid w:val="00AD39DB"/>
    <w:rsid w:val="00AF5628"/>
    <w:rsid w:val="00B16A2E"/>
    <w:rsid w:val="00B24306"/>
    <w:rsid w:val="00B30C9A"/>
    <w:rsid w:val="00B44751"/>
    <w:rsid w:val="00B72213"/>
    <w:rsid w:val="00BC224F"/>
    <w:rsid w:val="00BC4D08"/>
    <w:rsid w:val="00BC7288"/>
    <w:rsid w:val="00C16D1D"/>
    <w:rsid w:val="00C5383A"/>
    <w:rsid w:val="00C91A53"/>
    <w:rsid w:val="00CA0A0E"/>
    <w:rsid w:val="00CC49CB"/>
    <w:rsid w:val="00D261D5"/>
    <w:rsid w:val="00D72D38"/>
    <w:rsid w:val="00DB6D49"/>
    <w:rsid w:val="00DF0222"/>
    <w:rsid w:val="00DF3F03"/>
    <w:rsid w:val="00E022BD"/>
    <w:rsid w:val="00E71881"/>
    <w:rsid w:val="00E7284E"/>
    <w:rsid w:val="00E908C8"/>
    <w:rsid w:val="00E9685F"/>
    <w:rsid w:val="00EE7BD4"/>
    <w:rsid w:val="00EE7F69"/>
    <w:rsid w:val="00EE7FDC"/>
    <w:rsid w:val="00F06489"/>
    <w:rsid w:val="00F2507C"/>
    <w:rsid w:val="00F72DEE"/>
    <w:rsid w:val="00F817C5"/>
    <w:rsid w:val="089B9A51"/>
    <w:rsid w:val="0B0A1F6C"/>
    <w:rsid w:val="21CA8C92"/>
    <w:rsid w:val="260D7099"/>
    <w:rsid w:val="277D7A27"/>
    <w:rsid w:val="278AA84F"/>
    <w:rsid w:val="27F5DE83"/>
    <w:rsid w:val="33039ED0"/>
    <w:rsid w:val="3E7F541A"/>
    <w:rsid w:val="3EDE1FA1"/>
    <w:rsid w:val="3FBB9884"/>
    <w:rsid w:val="41B805BE"/>
    <w:rsid w:val="4299B0A9"/>
    <w:rsid w:val="4353D61F"/>
    <w:rsid w:val="4B5B4772"/>
    <w:rsid w:val="5301A837"/>
    <w:rsid w:val="56783C37"/>
    <w:rsid w:val="5AB74561"/>
    <w:rsid w:val="5C2210CC"/>
    <w:rsid w:val="5E3E70D0"/>
    <w:rsid w:val="5E797E1A"/>
    <w:rsid w:val="6149DE59"/>
    <w:rsid w:val="6251D6E2"/>
    <w:rsid w:val="6336A6A2"/>
    <w:rsid w:val="6431AAD8"/>
    <w:rsid w:val="6469851F"/>
    <w:rsid w:val="6BB19196"/>
    <w:rsid w:val="736E0786"/>
    <w:rsid w:val="76C96B8D"/>
    <w:rsid w:val="785FD61E"/>
    <w:rsid w:val="79ACB7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7FFBC"/>
  <w15:docId w15:val="{96AA7893-528E-4E53-90ED-1167A84A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ind w:left="6480" w:firstLine="540"/>
      <w:outlineLvl w:val="0"/>
    </w:pPr>
    <w:rPr>
      <w:snapToGrid w:val="0"/>
      <w:sz w:val="24"/>
    </w:rPr>
  </w:style>
  <w:style w:type="paragraph" w:styleId="Heading2">
    <w:name w:val="heading 2"/>
    <w:basedOn w:val="Normal"/>
    <w:next w:val="Normal"/>
    <w:qFormat/>
    <w:pPr>
      <w:keepNext/>
      <w:widowControl w:val="0"/>
      <w:jc w:val="center"/>
      <w:outlineLvl w:val="1"/>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LineNumber">
    <w:name w:val="line number"/>
    <w:basedOn w:val="DefaultParagraphFont"/>
    <w:semiHidden/>
  </w:style>
  <w:style w:type="paragraph" w:styleId="BodyText2">
    <w:name w:val="Body Text 2"/>
    <w:basedOn w:val="Normal"/>
    <w:link w:val="BodyText2Char"/>
    <w:semiHidden/>
    <w:rsid w:val="00A46F99"/>
    <w:rPr>
      <w:rFonts w:ascii="CG Omega" w:hAnsi="CG Omega"/>
      <w:color w:val="000000"/>
      <w:sz w:val="22"/>
      <w:szCs w:val="24"/>
    </w:rPr>
  </w:style>
  <w:style w:type="character" w:customStyle="1" w:styleId="BodyText2Char">
    <w:name w:val="Body Text 2 Char"/>
    <w:basedOn w:val="DefaultParagraphFont"/>
    <w:link w:val="BodyText2"/>
    <w:semiHidden/>
    <w:rsid w:val="00A46F99"/>
    <w:rPr>
      <w:rFonts w:ascii="CG Omega" w:hAnsi="CG Omega"/>
      <w:color w:val="000000"/>
      <w:sz w:val="22"/>
      <w:szCs w:val="24"/>
    </w:rPr>
  </w:style>
  <w:style w:type="paragraph" w:styleId="ListParagraph">
    <w:name w:val="List Paragraph"/>
    <w:basedOn w:val="Normal"/>
    <w:uiPriority w:val="34"/>
    <w:qFormat/>
    <w:rsid w:val="00626F87"/>
    <w:pPr>
      <w:ind w:left="720"/>
      <w:contextualSpacing/>
    </w:pPr>
    <w:rPr>
      <w:rFonts w:ascii="Arial" w:hAnsi="Arial" w:cs="Arial"/>
      <w:bCs/>
      <w:sz w:val="24"/>
      <w:szCs w:val="24"/>
    </w:rPr>
  </w:style>
  <w:style w:type="paragraph" w:styleId="BalloonText">
    <w:name w:val="Balloon Text"/>
    <w:basedOn w:val="Normal"/>
    <w:link w:val="BalloonTextChar"/>
    <w:uiPriority w:val="99"/>
    <w:semiHidden/>
    <w:unhideWhenUsed/>
    <w:rsid w:val="00BC72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288"/>
    <w:rPr>
      <w:rFonts w:ascii="Segoe UI" w:hAnsi="Segoe UI" w:cs="Segoe UI"/>
      <w:sz w:val="18"/>
      <w:szCs w:val="18"/>
    </w:rPr>
  </w:style>
  <w:style w:type="paragraph" w:styleId="NoSpacing">
    <w:name w:val="No Spacing"/>
    <w:uiPriority w:val="1"/>
    <w:qFormat/>
    <w:rsid w:val="00CA0A0E"/>
    <w:rPr>
      <w:rFonts w:ascii="Arial" w:hAnsi="Arial" w:cs="Arial"/>
      <w:bCs/>
      <w:sz w:val="24"/>
      <w:szCs w:val="24"/>
    </w:rPr>
  </w:style>
  <w:style w:type="paragraph" w:styleId="NormalWeb">
    <w:name w:val="Normal (Web)"/>
    <w:basedOn w:val="Normal"/>
    <w:uiPriority w:val="99"/>
    <w:unhideWhenUsed/>
    <w:rsid w:val="00CA0A0E"/>
    <w:pPr>
      <w:spacing w:before="100" w:beforeAutospacing="1" w:after="100" w:afterAutospacing="1"/>
    </w:pPr>
    <w:rPr>
      <w:sz w:val="24"/>
      <w:szCs w:val="24"/>
    </w:rPr>
  </w:style>
  <w:style w:type="paragraph" w:customStyle="1" w:styleId="Default">
    <w:name w:val="Default"/>
    <w:rsid w:val="00701A37"/>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rsid w:val="00DB6D49"/>
    <w:pPr>
      <w:tabs>
        <w:tab w:val="center" w:pos="4680"/>
        <w:tab w:val="right" w:pos="9360"/>
      </w:tabs>
    </w:pPr>
  </w:style>
  <w:style w:type="character" w:customStyle="1" w:styleId="HeaderChar">
    <w:name w:val="Header Char"/>
    <w:basedOn w:val="DefaultParagraphFont"/>
    <w:link w:val="Header"/>
    <w:uiPriority w:val="99"/>
    <w:rsid w:val="00DB6D49"/>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842252">
      <w:bodyDiv w:val="1"/>
      <w:marLeft w:val="0"/>
      <w:marRight w:val="0"/>
      <w:marTop w:val="0"/>
      <w:marBottom w:val="0"/>
      <w:divBdr>
        <w:top w:val="none" w:sz="0" w:space="0" w:color="auto"/>
        <w:left w:val="none" w:sz="0" w:space="0" w:color="auto"/>
        <w:bottom w:val="none" w:sz="0" w:space="0" w:color="auto"/>
        <w:right w:val="none" w:sz="0" w:space="0" w:color="auto"/>
      </w:divBdr>
    </w:div>
    <w:div w:id="1232350314">
      <w:bodyDiv w:val="1"/>
      <w:marLeft w:val="0"/>
      <w:marRight w:val="0"/>
      <w:marTop w:val="0"/>
      <w:marBottom w:val="0"/>
      <w:divBdr>
        <w:top w:val="none" w:sz="0" w:space="0" w:color="auto"/>
        <w:left w:val="none" w:sz="0" w:space="0" w:color="auto"/>
        <w:bottom w:val="none" w:sz="0" w:space="0" w:color="auto"/>
        <w:right w:val="none" w:sz="0" w:space="0" w:color="auto"/>
      </w:divBdr>
    </w:div>
    <w:div w:id="147301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618</Words>
  <Characters>3524</Characters>
  <Application>Microsoft Office Word</Application>
  <DocSecurity>0</DocSecurity>
  <Lines>29</Lines>
  <Paragraphs>8</Paragraphs>
  <ScaleCrop>false</ScaleCrop>
  <Company>MILWAUKEE COUNTY</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No</dc:title>
  <dc:subject/>
  <dc:creator>Bill Waldron</dc:creator>
  <cp:keywords/>
  <dc:description/>
  <cp:lastModifiedBy>James Tarantino</cp:lastModifiedBy>
  <cp:revision>32</cp:revision>
  <cp:lastPrinted>2016-02-18T16:54:00Z</cp:lastPrinted>
  <dcterms:created xsi:type="dcterms:W3CDTF">2021-06-08T15:03:00Z</dcterms:created>
  <dcterms:modified xsi:type="dcterms:W3CDTF">2026-02-06T15:58:00Z</dcterms:modified>
</cp:coreProperties>
</file>