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1.xml" ContentType="application/vnd.openxmlformats-officedocument.wordprocessingml.header+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pStyle w:val="Section"/>
        <w:pBdr/>
        <w:spacing/>
        <w:rPr/>
      </w:pPr>
      <w:r>
        <w:rPr/>
        <w:t xml:space="preserve">56.30.</w:t>
      </w:r>
      <w:r>
        <w:rPr/>
        <w:t xml:space="preserve"> </w:t>
      </w:r>
      <w:r>
        <w:rPr/>
        <w:t xml:space="preserve">Professional services.</w:t>
      </w:r>
    </w:p>
    <w:p>
      <w:pPr>
        <w:pStyle w:val="List1"/>
        <w:pBdr/>
        <w:spacing/>
        <w:rPr/>
      </w:pPr>
      <w:r>
        <w:rPr/>
        <w:t xml:space="preserve">(1)</w:t>
      </w:r>
      <w:r>
        <w:rPr/>
        <w:tab/>
        <w:t xml:space="preserve"/>
      </w:r>
      <w:r>
        <w:rPr>
          <w:i/>
        </w:rPr>
        <w:t xml:space="preserve">Definitions.</w:t>
      </w:r>
      <w:r>
        <w:rPr/>
        <w:t xml:space="preserve"> The meanings of certain terms used in this section are as follows, unless the context otherwise provides: </w:t>
      </w:r>
    </w:p>
    <w:p>
      <w:pPr>
        <w:pStyle w:val="List2"/>
        <w:pBdr/>
        <w:spacing/>
        <w:rPr/>
      </w:pPr>
      <w:r>
        <w:rPr/>
        <w:t xml:space="preserve">(a)</w:t>
      </w:r>
      <w:r>
        <w:rPr/>
        <w:tab/>
        <w:t xml:space="preserve"/>
      </w:r>
      <w:r>
        <w:rPr/>
        <w:t xml:space="preserve">"Professional services" means services, the value of which is substantially measured by the professional competence of the person performing them and which are not susceptible to realistic competition by cost of services alone. The services provided must be materially enhanced by the specific expertise, abilities, qualifications and experience of the person that will provide the service. Professional services shall typically include services customarily rendered by architects; engineers; surveyors; real estate appraisers; certified public accountants; attorneys; financial personnel; medical services, except when such services are delivered to county employees as part of a workers compensation claim; system planning; management and other consultants; and services for promotional programs. If a department administrator or other department personnel is uncertain if their contract should follow professional service contracting provisions under this ordinance, the department administrator must make a request of corporation counsel for final clarification, before beginning the contracting procedures. </w:t>
      </w:r>
    </w:p>
    <w:p>
      <w:pPr>
        <w:pStyle w:val="List2"/>
        <w:pBdr/>
        <w:spacing/>
        <w:rPr/>
      </w:pPr>
      <w:r>
        <w:rPr/>
        <w:t xml:space="preserve">(b)</w:t>
      </w:r>
      <w:r>
        <w:rPr/>
        <w:tab/>
        <w:t xml:space="preserve"/>
      </w:r>
      <w:r>
        <w:rPr/>
        <w:t xml:space="preserve">"Services" means the furnishing of labor, time or effort by a contractor/consultant, not involving the delivery of a specific end product other than usual reports and/or drawings which are incidental to the required performance. </w:t>
      </w:r>
    </w:p>
    <w:p>
      <w:pPr>
        <w:pStyle w:val="List2"/>
        <w:pBdr/>
        <w:spacing/>
        <w:rPr/>
      </w:pPr>
      <w:r>
        <w:rPr/>
        <w:t xml:space="preserve">(c)</w:t>
      </w:r>
      <w:r>
        <w:rPr/>
        <w:tab/>
        <w:t xml:space="preserve"/>
      </w:r>
      <w:r>
        <w:rPr/>
        <w:t xml:space="preserve">"Request for proposal" means all documents, whether attached or incorporated by reference, used for soliciting proposals. </w:t>
      </w:r>
    </w:p>
    <w:p>
      <w:pPr>
        <w:pStyle w:val="List2"/>
        <w:pBdr/>
        <w:spacing/>
        <w:rPr/>
      </w:pPr>
      <w:r>
        <w:rPr/>
        <w:t xml:space="preserve">(d)</w:t>
      </w:r>
      <w:r>
        <w:rPr/>
        <w:tab/>
        <w:t xml:space="preserve"/>
      </w:r>
      <w:r>
        <w:rPr/>
        <w:t xml:space="preserve">"Contractor" means a firm or individual who formally undertakes to do anything for another. Independent contractors must maintain a separate business and hold themselves out to and render service to the general public and must have a right to control the details of the work performed. Questions regarding independent contractor status must be directed to Corporation Counsel. Appendix F lists federal criteria to be considered in determining independent contractor status. </w:t>
      </w:r>
    </w:p>
    <w:p>
      <w:pPr>
        <w:pStyle w:val="List2"/>
        <w:pBdr/>
        <w:spacing/>
        <w:rPr/>
      </w:pPr>
      <w:r>
        <w:rPr/>
        <w:t xml:space="preserve">(e)</w:t>
      </w:r>
      <w:r>
        <w:rPr/>
        <w:tab/>
        <w:t xml:space="preserve"/>
      </w:r>
      <w:r>
        <w:rPr/>
        <w:t xml:space="preserve">"Contract" means a legally binding relationship obligating a seller to furnish supplies or services (including, but not limited to, construction and professional services) and the buyer to pay for them. For purposes of this part, a lease is considered to be a contract. </w:t>
      </w:r>
    </w:p>
    <w:p>
      <w:pPr>
        <w:pStyle w:val="List1"/>
        <w:pBdr/>
        <w:spacing/>
        <w:rPr/>
      </w:pPr>
      <w:r>
        <w:rPr/>
        <w:t xml:space="preserve">(2)</w:t>
      </w:r>
      <w:r>
        <w:rPr/>
        <w:tab/>
        <w:t xml:space="preserve"/>
      </w:r>
      <w:r>
        <w:rPr>
          <w:i/>
        </w:rPr>
        <w:t xml:space="preserve">Policy.</w:t>
      </w:r>
    </w:p>
    <w:p>
      <w:pPr>
        <w:pStyle w:val="List2"/>
        <w:pBdr/>
        <w:spacing/>
        <w:rPr/>
      </w:pPr>
      <w:r>
        <w:rPr/>
        <w:t xml:space="preserve">(a)</w:t>
      </w:r>
      <w:r>
        <w:rPr/>
        <w:tab/>
        <w:t xml:space="preserve"/>
      </w:r>
      <w:r>
        <w:rPr/>
        <w:t xml:space="preserve">General policy statement. All county departments and institution administrators are responsible for procuring professional services and for soliciting, negotiating and entering into contracts as defined in accordance with the provisions of this section. However, the office of the county executive and the county board shall be exempt from the provisions contained herein with the exception of subsections (6)(a) and (6)(i) as shall be the department of administration with the exception of subsections (6)(a) and (6)(i) for the purpose of securing credit rating services related to debt issuance and administration. </w:t>
      </w:r>
    </w:p>
    <w:p>
      <w:pPr>
        <w:pStyle w:val="List2"/>
        <w:pBdr/>
        <w:spacing/>
        <w:rPr/>
      </w:pPr>
      <w:r>
        <w:rPr/>
        <w:t xml:space="preserve">(b)</w:t>
      </w:r>
      <w:r>
        <w:rPr/>
        <w:tab/>
        <w:t xml:space="preserve"/>
      </w:r>
      <w:r>
        <w:rPr/>
        <w:t xml:space="preserve">All county departments and institution administrators are responsible for procuring professional services and for soliciting, negotiating and entering into contracts as defined in accordance with the provisions of </w:t>
      </w:r>
      <w:r>
        <w:rPr/>
        <w:t xml:space="preserve">chapter 42</w:t>
      </w:r>
      <w:r>
        <w:rPr/>
        <w:t xml:space="preserve"> of these ordinances. Annual percentage goals for Target Enterprise participation on professional services contracts will be established as set forth by </w:t>
      </w:r>
      <w:r>
        <w:rPr/>
        <w:t xml:space="preserve">chapter 42</w:t>
      </w:r>
      <w:r>
        <w:rPr/>
        <w:t xml:space="preserve"> of these ordinances. </w:t>
      </w:r>
    </w:p>
    <w:p>
      <w:pPr>
        <w:pStyle w:val="List2"/>
        <w:pBdr/>
        <w:spacing/>
        <w:rPr/>
      </w:pPr>
      <w:r>
        <w:rPr/>
        <w:t xml:space="preserve">(c)</w:t>
      </w:r>
      <w:r>
        <w:rPr/>
        <w:tab/>
        <w:t xml:space="preserve"/>
      </w:r>
      <w:r>
        <w:rPr/>
        <w:t xml:space="preserve">Fiscal constraint statement. Notwithstanding any other provisions of section </w:t>
      </w:r>
      <w:r>
        <w:rPr/>
        <w:t xml:space="preserve">56.30</w:t>
      </w:r>
      <w:r>
        <w:rPr/>
        <w:t xml:space="preserve">, during a period of fiscal constraint the county board may, by resolution, adopt a procedure which requires the committee on finance review and county board approval of all professional services expenditures prior to execution of said contracts. </w:t>
      </w:r>
    </w:p>
    <w:p>
      <w:pPr>
        <w:pStyle w:val="List2"/>
        <w:pBdr/>
        <w:spacing/>
        <w:rPr/>
      </w:pPr>
      <w:r>
        <w:rPr/>
        <w:t xml:space="preserve">(d)</w:t>
      </w:r>
      <w:r>
        <w:rPr/>
        <w:tab/>
        <w:t xml:space="preserve"/>
      </w:r>
      <w:r>
        <w:rPr/>
        <w:t xml:space="preserve">Justification for using professional services. Contract administrators must document in the contract file the justification for utilizing a professional service contract as opposed to completing the work using county staff. This justification may or may not employ a formal cost benefit analysis, depending on the circumstances. </w:t>
      </w:r>
    </w:p>
    <w:p>
      <w:pPr>
        <w:pStyle w:val="List1"/>
        <w:pBdr/>
        <w:spacing/>
        <w:rPr/>
      </w:pPr>
      <w:r>
        <w:rPr/>
        <w:t xml:space="preserve">(3)</w:t>
      </w:r>
      <w:r>
        <w:rPr/>
        <w:tab/>
        <w:t xml:space="preserve"/>
      </w:r>
      <w:r>
        <w:rPr>
          <w:i/>
        </w:rPr>
        <w:t xml:space="preserve">Availability of appropriations.</w:t>
      </w:r>
      <w:r>
        <w:rPr/>
        <w:t xml:space="preserve"> It is the responsibility of the administrator who will sign a professional services contract to insure that monies are available in the appropriate budget account for the expenditures required by the contract. </w:t>
      </w:r>
    </w:p>
    <w:p>
      <w:pPr>
        <w:pStyle w:val="List1"/>
        <w:pBdr/>
        <w:spacing/>
        <w:rPr/>
      </w:pPr>
      <w:r>
        <w:rPr/>
        <w:t xml:space="preserve">(4)</w:t>
      </w:r>
      <w:r>
        <w:rPr/>
        <w:tab/>
        <w:t xml:space="preserve"/>
      </w:r>
      <w:r>
        <w:rPr>
          <w:i/>
        </w:rPr>
        <w:t xml:space="preserve">Professional services procedures.</w:t>
      </w:r>
      <w:r>
        <w:rPr/>
        <w:t xml:space="preserve"> It shall be the responsibility of the administrator to conform with the following provisions when entering into a professional services contract and expending budgeted funds: </w:t>
      </w:r>
    </w:p>
    <w:p>
      <w:pPr>
        <w:pStyle w:val="List2"/>
        <w:pBdr/>
        <w:spacing/>
        <w:rPr/>
      </w:pPr>
      <w:r>
        <w:rPr/>
        <w:t xml:space="preserve">(a)</w:t>
      </w:r>
      <w:r>
        <w:rPr/>
        <w:tab/>
        <w:t xml:space="preserve"/>
      </w:r>
      <w:r>
        <w:rPr>
          <w:i/>
        </w:rPr>
        <w:t xml:space="preserve">Professional services—Capital improvements.</w:t>
      </w:r>
      <w:r>
        <w:rPr/>
        <w:t xml:space="preserve"> The following conditions shall apply to all capital projects. </w:t>
      </w:r>
    </w:p>
    <w:p>
      <w:pPr>
        <w:pStyle w:val="List3"/>
        <w:pBdr/>
        <w:spacing/>
        <w:rPr/>
      </w:pPr>
      <w:r>
        <w:rPr/>
        <w:t xml:space="preserve">(1)</w:t>
      </w:r>
      <w:r>
        <w:rPr/>
        <w:tab/>
        <w:t xml:space="preserve"/>
      </w:r>
      <w:r>
        <w:rPr/>
        <w:t xml:space="preserve">During its annual budget process, departments shall provide a list to the county board of which capital projects contained in the recommended budget are intended to require the assistance of a professional services consultant. Departments are authorized to enter into contractual services or professional services agreements as may be required for specific capital improvement projects which have been approved by the county board through the budget process. Expenditures shall only be for those projects and professional services specifically identified in the budget write-up reviewed by the committee on finance during the budget review process and approved by the county board, or for those projects approved by action of the county board. The budget write-up shall contain specific information as to the scope of the project, professional services required and estimated cost of the professional services work to be performed. The appropriate department of transportation or the department of administrative services shall provide in February of each year to the committee on finance and the committee on community, environment and economic development an updated report on public works capital projects requiring the use of a professional services contract. Any professional services work costing more than twenty thousand dollars ($20,000.00) which is not identified in the February report shall require county board approval. </w:t>
      </w:r>
    </w:p>
    <w:p>
      <w:pPr>
        <w:pStyle w:val="List3"/>
        <w:pBdr/>
        <w:spacing/>
        <w:rPr/>
      </w:pPr>
      <w:r>
        <w:rPr/>
        <w:t xml:space="preserve">(2)</w:t>
      </w:r>
      <w:r>
        <w:rPr/>
        <w:tab/>
        <w:t xml:space="preserve"/>
      </w:r>
      <w:r>
        <w:rPr/>
        <w:t xml:space="preserve">All contracts in excess of twenty thousand dollars ($20,000.00) shall be solicited following a request for proposal process as outlined further in this ordinance. </w:t>
      </w:r>
    </w:p>
    <w:p>
      <w:pPr>
        <w:pStyle w:val="List2"/>
        <w:pBdr/>
        <w:spacing/>
        <w:rPr/>
      </w:pPr>
      <w:r>
        <w:rPr/>
        <w:t xml:space="preserve">(b)</w:t>
      </w:r>
      <w:r>
        <w:rPr/>
        <w:tab/>
        <w:t xml:space="preserve"/>
      </w:r>
      <w:r>
        <w:rPr>
          <w:i/>
        </w:rPr>
        <w:t xml:space="preserve">Professional services—Non-Capital.</w:t>
      </w:r>
    </w:p>
    <w:p>
      <w:pPr>
        <w:pStyle w:val="List3"/>
        <w:pBdr/>
        <w:spacing/>
        <w:rPr/>
      </w:pPr>
      <w:r>
        <w:rPr/>
        <w:t xml:space="preserve">(1)</w:t>
      </w:r>
      <w:r>
        <w:rPr/>
        <w:tab/>
        <w:t xml:space="preserve"/>
      </w:r>
      <w:r>
        <w:rPr/>
        <w:t xml:space="preserve">For professional services resulting in an expenditure of two thousand dollars ($2,000.00) or less, a departmental purchase order or purchase card may be used for the purchase of professional services. County board approval is not required provided monies are available in the appropriate budget account. </w:t>
      </w:r>
    </w:p>
    <w:p>
      <w:pPr>
        <w:pStyle w:val="List3"/>
        <w:pBdr/>
        <w:spacing/>
        <w:rPr/>
      </w:pPr>
      <w:r>
        <w:rPr/>
        <w:t xml:space="preserve">(2)</w:t>
      </w:r>
      <w:r>
        <w:rPr/>
        <w:tab/>
        <w:t xml:space="preserve"/>
      </w:r>
      <w:r>
        <w:rPr/>
        <w:t xml:space="preserve">For a professional services contract with a value greater than two thousand dollars ($2,000.00) and less than fifty thousand dollars ($50,000.00), county board approval is not required provided monies are available in the appropriate budget account for the expenditures required by the contract. </w:t>
      </w:r>
    </w:p>
    <w:p>
      <w:pPr>
        <w:pStyle w:val="List3"/>
        <w:pBdr/>
        <w:spacing/>
        <w:rPr/>
      </w:pPr>
      <w:r>
        <w:rPr/>
        <w:t xml:space="preserve">(3)</w:t>
      </w:r>
      <w:r>
        <w:rPr/>
        <w:tab/>
        <w:t xml:space="preserve"/>
      </w:r>
      <w:r>
        <w:rPr/>
        <w:t xml:space="preserve">County board approval. </w:t>
      </w:r>
    </w:p>
    <w:p>
      <w:pPr>
        <w:pStyle w:val="List4"/>
        <w:pBdr/>
        <w:spacing/>
        <w:rPr/>
      </w:pPr>
      <w:r>
        <w:rPr/>
        <w:t xml:space="preserve">(a)</w:t>
      </w:r>
      <w:r>
        <w:rPr/>
        <w:tab/>
        <w:t xml:space="preserve"/>
      </w:r>
      <w:r>
        <w:rPr/>
        <w:t xml:space="preserve">If a professional services contract with a value greater than two thousand dollars ($2,000.00) and less than fifty thousand dollars ($50,000.00), entered into by a department administrator is to be extended or amended to provide additional reimbursement which extends the total reimbursement beyond fifty thousand dollars ($50,000.00) to the same vendor, county board approval shall be required for each extension. </w:t>
      </w:r>
    </w:p>
    <w:p>
      <w:pPr>
        <w:pStyle w:val="List4"/>
        <w:pBdr/>
        <w:spacing/>
        <w:rPr/>
      </w:pPr>
      <w:r>
        <w:rPr/>
        <w:t xml:space="preserve">(b)</w:t>
      </w:r>
      <w:r>
        <w:rPr/>
        <w:tab/>
        <w:t xml:space="preserve"/>
      </w:r>
      <w:r>
        <w:rPr/>
        <w:t xml:space="preserve">For a professional services contract with a value of fifty thousand dollars ($50,000.00) or more, approval by the county board is required. Such approval may take place as part of the county board's adoption of the annual county budget. If approval does not take place as part of the adopted budget, then review by the appropriate county board standing committee and approval by the county board is required. </w:t>
      </w:r>
    </w:p>
    <w:p>
      <w:pPr>
        <w:pStyle w:val="List3"/>
        <w:pBdr/>
        <w:spacing/>
        <w:rPr/>
      </w:pPr>
      <w:r>
        <w:rPr/>
        <w:t xml:space="preserve">(4)</w:t>
      </w:r>
      <w:r>
        <w:rPr/>
        <w:tab/>
        <w:t xml:space="preserve"/>
      </w:r>
      <w:r>
        <w:rPr/>
        <w:t xml:space="preserve">County board approval is not required for reimbursement for medical services as defined under subsection </w:t>
      </w:r>
      <w:r>
        <w:rPr/>
        <w:t xml:space="preserve">56.30</w:t>
      </w:r>
      <w:r>
        <w:rPr/>
        <w:t xml:space="preserve">(1)(f) when those services are provided to county employes as a workers compensation claim provided that sufficient funds are available at the time the invoice for service is submitted in the appropriate expenditure amount. </w:t>
      </w:r>
    </w:p>
    <w:p>
      <w:pPr>
        <w:pStyle w:val="List4"/>
        <w:pBdr/>
        <w:spacing/>
        <w:rPr/>
      </w:pPr>
      <w:r>
        <w:rPr/>
        <w:t xml:space="preserve">(a)</w:t>
      </w:r>
      <w:r>
        <w:rPr/>
        <w:tab/>
        <w:t xml:space="preserve"/>
      </w:r>
      <w:r>
        <w:rPr/>
        <w:t xml:space="preserve">The risk management division is allowed to issue payments to hospitals whenever services have been rendered to county employes as part of a workers compensation claim. </w:t>
      </w:r>
    </w:p>
    <w:p>
      <w:pPr>
        <w:pStyle w:val="List1"/>
        <w:pBdr/>
        <w:spacing/>
        <w:rPr/>
      </w:pPr>
      <w:r>
        <w:rPr/>
        <w:t xml:space="preserve">(5)</w:t>
      </w:r>
      <w:r>
        <w:rPr/>
        <w:tab/>
        <w:t xml:space="preserve"/>
      </w:r>
      <w:r>
        <w:rPr>
          <w:i/>
        </w:rPr>
        <w:t xml:space="preserve">Request for proposal.</w:t>
      </w:r>
    </w:p>
    <w:p>
      <w:pPr>
        <w:pStyle w:val="List2"/>
        <w:pBdr/>
        <w:spacing/>
        <w:rPr/>
      </w:pPr>
      <w:r>
        <w:rPr/>
        <w:t xml:space="preserve">(a)</w:t>
      </w:r>
      <w:r>
        <w:rPr/>
        <w:tab/>
        <w:t xml:space="preserve"/>
      </w:r>
      <w:r>
        <w:rPr>
          <w:i/>
        </w:rPr>
        <w:t xml:space="preserve">When required.</w:t>
      </w:r>
      <w:r>
        <w:rPr/>
        <w:t xml:space="preserve"> When it is estimated that a contract for professional services has a value of fifty thousand dollars ($50,000.00) and over, it is required that a request for proposal (RFP) be used to attempt to solicit a minimum of three (3) proposals. Department administrators shall give appropriate notice to prospective vendors of services to be retained. At a minimum, such notice shall include publication of an ad in a newspaper serving the Milwaukee area. The use of an RFP is discretionary for any professional services contract with a value of less than fifty thousand dollars ($50,000.00). If an RFP is used or not, it still is required to document the process and the reasons shall be documented in writing by the administrator and retained in departmental files for a period of seven (7) years after contract completion. Documentation shall include the RFP, memos, proposals, score sheets, analyses, contracts and any other document used in determining the award of a contract. </w:t>
      </w:r>
    </w:p>
    <w:p>
      <w:pPr>
        <w:pStyle w:val="List3"/>
        <w:pBdr/>
        <w:spacing/>
        <w:rPr/>
      </w:pPr>
      <w:r>
        <w:rPr/>
        <w:t xml:space="preserve">(1)</w:t>
      </w:r>
      <w:r>
        <w:rPr/>
        <w:tab/>
        <w:t xml:space="preserve"/>
      </w:r>
      <w:r>
        <w:rPr/>
        <w:t xml:space="preserve">For a contract with an estimated value between fifty thousand dollars ($50,000.00) and one hundred thousand dollars ($100,000.00), the request for proposal procedure need not be used if it is determined by an administrator to be cost effective to the county not to seek proposals. Such action shall be reported, in writing, with an explanation as to the benefits derived from not seeking proposals, to the county board when the contract is submitted for approval. </w:t>
      </w:r>
    </w:p>
    <w:p>
      <w:pPr>
        <w:pStyle w:val="List3"/>
        <w:pBdr/>
        <w:spacing/>
        <w:rPr/>
      </w:pPr>
      <w:r>
        <w:rPr/>
        <w:t xml:space="preserve">(2)</w:t>
      </w:r>
      <w:r>
        <w:rPr/>
        <w:tab/>
        <w:t xml:space="preserve"/>
      </w:r>
      <w:r>
        <w:rPr/>
        <w:t xml:space="preserve">The request for proposal procedure need not be used for a contract with an estimated value of fifty thousand dollars ($50,000.00) or more, if immediate action is required to preserve property or protect life, health or welfare of persons. Such action shall be reported in writing within forty-eight (48) hours after the initial emergency action to the county board, county executive and department of administration. Payments shall not be restricted by normal budget limitations. Appropriation transfers, if required, shall be initiated in accordance with fiscal procedures. </w:t>
      </w:r>
    </w:p>
    <w:p>
      <w:pPr>
        <w:pStyle w:val="List3"/>
        <w:pBdr/>
        <w:spacing/>
        <w:rPr/>
      </w:pPr>
      <w:r>
        <w:rPr/>
        <w:t xml:space="preserve">(3)</w:t>
      </w:r>
      <w:r>
        <w:rPr/>
        <w:tab/>
        <w:t xml:space="preserve"/>
      </w:r>
      <w:r>
        <w:rPr/>
        <w:t xml:space="preserve">The request for proposal procedure must be used for all contracts with an estimated value of one hundred thousand dollars ($100,000.00) or more unless action is required to protect property or protect life, health or welfare of persons, or in circumstances where contractual services are approved by specific county board action. </w:t>
      </w:r>
    </w:p>
    <w:p>
      <w:pPr>
        <w:pStyle w:val="List2"/>
        <w:pBdr/>
        <w:spacing/>
        <w:rPr/>
      </w:pPr>
      <w:r>
        <w:rPr/>
        <w:t xml:space="preserve">(b)</w:t>
      </w:r>
      <w:r>
        <w:rPr/>
        <w:tab/>
        <w:t xml:space="preserve"/>
      </w:r>
      <w:r>
        <w:rPr>
          <w:i/>
        </w:rPr>
        <w:t xml:space="preserve">Content.</w:t>
      </w:r>
      <w:r>
        <w:rPr/>
        <w:t xml:space="preserve"> The request for proposal shall contain the evaluation criteria which will be used to select the successful contractor. The relative importance of each of these items will depend to some degree on specific services being sought. It is essential that the RFP enumerate the evaluation criteria which will be used to select the successful contractor. The RFP shall also include the foundation and mechanism for billing for any professional service. </w:t>
      </w:r>
    </w:p>
    <w:p>
      <w:pPr>
        <w:pStyle w:val="List2"/>
        <w:pBdr/>
        <w:spacing/>
        <w:rPr/>
      </w:pPr>
      <w:r>
        <w:rPr/>
        <w:t xml:space="preserve">(c)</w:t>
      </w:r>
      <w:r>
        <w:rPr/>
        <w:tab/>
        <w:t xml:space="preserve"/>
      </w:r>
      <w:r>
        <w:rPr>
          <w:i/>
        </w:rPr>
        <w:t xml:space="preserve">Evaluation procedure.</w:t>
      </w:r>
      <w:r>
        <w:rPr/>
        <w:t xml:space="preserve"> More than one (1) person shall evaluate all proposals. Oral presentations should be used to supplement the written proposal if it will assist in the evaluation procedure. The firms to be invited to make an oral presentation can be determined after the initial review and ranking of the proposals based on the criteria outlined in the RFP. </w:t>
      </w:r>
    </w:p>
    <w:p>
      <w:pPr>
        <w:pStyle w:val="List2"/>
        <w:pBdr/>
        <w:spacing/>
        <w:rPr/>
      </w:pPr>
      <w:r>
        <w:rPr/>
        <w:t xml:space="preserve">(d)</w:t>
      </w:r>
      <w:r>
        <w:rPr/>
        <w:tab/>
        <w:t xml:space="preserve"/>
      </w:r>
      <w:r>
        <w:rPr>
          <w:i/>
        </w:rPr>
        <w:t xml:space="preserve">Disclosure.</w:t>
      </w:r>
      <w:r>
        <w:rPr/>
        <w:t xml:space="preserve"> Contract administrators, evaluation panel members, or potential members, department administrators and persons selecting evaluation panel members are required to fully disclose on forms approved by the Ethics Board any experience, contact or relationship with bidders that would create a potential conflict of interest, or the appearance of a conflict of interest, as defined in </w:t>
      </w:r>
      <w:r>
        <w:rPr/>
        <w:t xml:space="preserve">chapter 9</w:t>
      </w:r>
      <w:r>
        <w:rPr/>
        <w:t xml:space="preserve"> of these ordinances, in awarding or managing a contract. Such disclosure shall be presented to the administrator of the department letting the contract who shall forward the disclosure to the Ethics Board with a written request for a determination as to whether the disclosing party should be disqualified from evaluating, selecting or administering the proposed contract. The determination of the Ethics Board must be documented and included in the department's files for the contract and shall be retained as required under subsection (a) of this section. The provisions of this section are to be included in the Milwaukee County Administrative Procedures Manual. All the provisions set forth in the Milwaukee County Code of Ethics are in full force and effect and are not abrogated in any way by these requirements. </w:t>
      </w:r>
    </w:p>
    <w:p>
      <w:pPr>
        <w:pStyle w:val="List1"/>
        <w:pBdr/>
        <w:spacing/>
        <w:rPr/>
      </w:pPr>
      <w:r>
        <w:rPr/>
        <w:t xml:space="preserve">(6)</w:t>
      </w:r>
      <w:r>
        <w:rPr/>
        <w:tab/>
        <w:t xml:space="preserve"/>
      </w:r>
      <w:r>
        <w:rPr>
          <w:i/>
        </w:rPr>
        <w:t xml:space="preserve">Contract.</w:t>
      </w:r>
    </w:p>
    <w:p>
      <w:pPr>
        <w:pStyle w:val="List2"/>
        <w:pBdr/>
        <w:spacing/>
        <w:rPr/>
      </w:pPr>
      <w:r>
        <w:rPr/>
        <w:t xml:space="preserve">(a)</w:t>
      </w:r>
      <w:r>
        <w:rPr/>
        <w:tab/>
        <w:t xml:space="preserve"/>
      </w:r>
      <w:r>
        <w:rPr/>
        <w:t xml:space="preserve">All contracts, excluding departmental purchase orders, shall be reviewed by the corporation counsel to determine if they meet the definition of professional services and to verify that the contracts comply with all statutes, rules, ordinances, and the county's ethics policy. </w:t>
      </w:r>
    </w:p>
    <w:p>
      <w:pPr>
        <w:pStyle w:val="List2"/>
        <w:pBdr/>
        <w:spacing/>
        <w:rPr/>
      </w:pPr>
      <w:r>
        <w:rPr/>
        <w:t xml:space="preserve">(b)</w:t>
      </w:r>
      <w:r>
        <w:rPr/>
        <w:tab/>
        <w:t xml:space="preserve"/>
      </w:r>
      <w:r>
        <w:rPr/>
        <w:t xml:space="preserve">Approval. The contract must be approved by the office of the corporation counsel prior to execution. No contract is valid until so countersigned. </w:t>
      </w:r>
    </w:p>
    <w:p>
      <w:pPr>
        <w:pStyle w:val="List2"/>
        <w:pBdr/>
        <w:spacing/>
        <w:rPr/>
      </w:pPr>
      <w:r>
        <w:rPr/>
        <w:t xml:space="preserve">(c)</w:t>
      </w:r>
      <w:r>
        <w:rPr/>
        <w:tab/>
        <w:t xml:space="preserve"/>
      </w:r>
      <w:r>
        <w:rPr/>
        <w:t xml:space="preserve">All provisions of the Code governing administration of contracts must be followed. </w:t>
      </w:r>
    </w:p>
    <w:p>
      <w:pPr>
        <w:pStyle w:val="List2"/>
        <w:pBdr/>
        <w:spacing/>
        <w:rPr/>
      </w:pPr>
      <w:r>
        <w:rPr/>
        <w:t xml:space="preserve">(d)</w:t>
      </w:r>
      <w:r>
        <w:rPr/>
        <w:tab/>
        <w:t xml:space="preserve"/>
      </w:r>
      <w:r>
        <w:rPr/>
        <w:t xml:space="preserve">All contracts which have been approved by action of the county board shall contain language referencing the county board file number and date of county board approval. </w:t>
      </w:r>
    </w:p>
    <w:p>
      <w:pPr>
        <w:pStyle w:val="List2"/>
        <w:pBdr/>
        <w:spacing/>
        <w:rPr/>
      </w:pPr>
      <w:r>
        <w:rPr/>
        <w:t xml:space="preserve">(e)</w:t>
      </w:r>
      <w:r>
        <w:rPr/>
        <w:tab/>
        <w:t xml:space="preserve"/>
      </w:r>
      <w:r>
        <w:rPr/>
        <w:t xml:space="preserve">All professional services contracts shall contain a provision which provides that the contractor shall permit the authorized representatives of the office of the comptroller, after reasonable notice, the right to inspect and audit all data and records of contractor related to carrying out the contract for a period of up to three (3) years after completion of the contract. </w:t>
      </w:r>
    </w:p>
    <w:p>
      <w:pPr>
        <w:pStyle w:val="List2"/>
        <w:pBdr/>
        <w:spacing/>
        <w:rPr/>
      </w:pPr>
      <w:r>
        <w:rPr/>
        <w:t xml:space="preserve">(f)</w:t>
      </w:r>
      <w:r>
        <w:rPr/>
        <w:tab/>
        <w:t xml:space="preserve"/>
      </w:r>
      <w:r>
        <w:rPr/>
        <w:t xml:space="preserve">All contracts will be reviewed and approved, in writing, by the county's risk manager for financial responsibility and liability management, including appropriate insurance provisions and modifications in indemnity agreements. </w:t>
      </w:r>
    </w:p>
    <w:p>
      <w:pPr>
        <w:pStyle w:val="List2"/>
        <w:pBdr/>
        <w:spacing/>
        <w:rPr/>
      </w:pPr>
      <w:r>
        <w:rPr/>
        <w:t xml:space="preserve">(g)</w:t>
      </w:r>
      <w:r>
        <w:rPr/>
        <w:tab/>
        <w:t xml:space="preserve"/>
      </w:r>
      <w:r>
        <w:rPr/>
        <w:t xml:space="preserve">All contracts will be reviewed and countersigned by CBDP director for compliance with </w:t>
      </w:r>
      <w:r>
        <w:rPr/>
        <w:t xml:space="preserve">chapter 42</w:t>
      </w:r>
      <w:r>
        <w:rPr/>
        <w:t xml:space="preserve"> of these ordinances. No contract is valid until so countersigned. </w:t>
      </w:r>
    </w:p>
    <w:p>
      <w:pPr>
        <w:pStyle w:val="List2"/>
        <w:pBdr/>
        <w:spacing/>
        <w:rPr/>
      </w:pPr>
      <w:r>
        <w:rPr/>
        <w:t xml:space="preserve">(h)</w:t>
      </w:r>
      <w:r>
        <w:rPr/>
        <w:tab/>
        <w:t xml:space="preserve"/>
      </w:r>
      <w:r>
        <w:rPr/>
        <w:t xml:space="preserve">All contracts shall include the foundation and mechanism for billing for any professional service provided under the agreement. </w:t>
      </w:r>
    </w:p>
    <w:p>
      <w:pPr>
        <w:pStyle w:val="List2"/>
        <w:pBdr/>
        <w:spacing/>
        <w:rPr/>
      </w:pPr>
      <w:r>
        <w:rPr/>
        <w:t xml:space="preserve">(i)</w:t>
      </w:r>
      <w:r>
        <w:rPr/>
        <w:tab/>
        <w:t xml:space="preserve"/>
      </w:r>
      <w:r>
        <w:rPr/>
        <w:t xml:space="preserve">No contract shall be valid until the office of the comptroller has determined that the county has, or will have, the necessary funds to pay the liability that the county may incur under the contract and has countersigned the contract. No contract is valid until so countersigned. </w:t>
      </w:r>
    </w:p>
    <w:p>
      <w:pPr>
        <w:pStyle w:val="List1"/>
        <w:pBdr/>
        <w:spacing/>
        <w:rPr/>
      </w:pPr>
      <w:r>
        <w:rPr/>
        <w:t xml:space="preserve">(7)</w:t>
      </w:r>
      <w:r>
        <w:rPr/>
        <w:tab/>
        <w:t xml:space="preserve"/>
      </w:r>
      <w:r>
        <w:rPr>
          <w:i/>
        </w:rPr>
        <w:t xml:space="preserve">Department administrator reporting requirement.</w:t>
      </w:r>
      <w:r>
        <w:rPr/>
        <w:t xml:space="preserve"> All department administrators are responsible for informing the comptroller in writing whenever a professional services contract is initiated. Department administrators are to inform the comptroller of such contracts in a standardized format on a form to be developed by the department of administrative services. </w:t>
      </w:r>
    </w:p>
    <w:p>
      <w:pPr>
        <w:pStyle w:val="List2"/>
        <w:pBdr/>
        <w:spacing/>
        <w:rPr/>
      </w:pPr>
      <w:r>
        <w:rPr/>
        <w:t xml:space="preserve">(a)</w:t>
      </w:r>
      <w:r>
        <w:rPr/>
        <w:tab/>
        <w:t xml:space="preserve"/>
      </w:r>
      <w:r>
        <w:rPr>
          <w:i/>
        </w:rPr>
        <w:t xml:space="preserve">Content.</w:t>
      </w:r>
      <w:r>
        <w:rPr/>
        <w:t xml:space="preserve"> Such reports shall be prepared in four (4) parts and include the following information: </w:t>
      </w:r>
    </w:p>
    <w:p>
      <w:pPr>
        <w:pStyle w:val="List3"/>
        <w:pBdr/>
        <w:spacing/>
        <w:rPr/>
      </w:pPr>
      <w:r>
        <w:rPr/>
        <w:t xml:space="preserve">(1)</w:t>
      </w:r>
      <w:r>
        <w:rPr/>
        <w:tab/>
        <w:t xml:space="preserve"/>
      </w:r>
      <w:r>
        <w:rPr/>
        <w:t xml:space="preserve">Department name and number. </w:t>
      </w:r>
    </w:p>
    <w:p>
      <w:pPr>
        <w:pStyle w:val="List3"/>
        <w:pBdr/>
        <w:spacing/>
        <w:rPr/>
      </w:pPr>
      <w:r>
        <w:rPr/>
        <w:t xml:space="preserve">(2)</w:t>
      </w:r>
      <w:r>
        <w:rPr/>
        <w:tab/>
        <w:t xml:space="preserve"/>
      </w:r>
      <w:r>
        <w:rPr/>
        <w:t xml:space="preserve">Date approved by county board and file number. </w:t>
      </w:r>
    </w:p>
    <w:p>
      <w:pPr>
        <w:pStyle w:val="List3"/>
        <w:pBdr/>
        <w:spacing/>
        <w:rPr/>
      </w:pPr>
      <w:r>
        <w:rPr/>
        <w:t xml:space="preserve">(3)</w:t>
      </w:r>
      <w:r>
        <w:rPr/>
        <w:tab/>
        <w:t xml:space="preserve"/>
      </w:r>
      <w:r>
        <w:rPr/>
        <w:t xml:space="preserve">Dollar amount of contract. </w:t>
      </w:r>
    </w:p>
    <w:p>
      <w:pPr>
        <w:pStyle w:val="List3"/>
        <w:pBdr/>
        <w:spacing/>
        <w:rPr/>
      </w:pPr>
      <w:r>
        <w:rPr/>
        <w:t xml:space="preserve">(4)</w:t>
      </w:r>
      <w:r>
        <w:rPr/>
        <w:tab/>
        <w:t xml:space="preserve"/>
      </w:r>
      <w:r>
        <w:rPr/>
        <w:t xml:space="preserve">Account description and account number charged. </w:t>
      </w:r>
    </w:p>
    <w:p>
      <w:pPr>
        <w:pStyle w:val="List3"/>
        <w:pBdr/>
        <w:spacing/>
        <w:rPr/>
      </w:pPr>
      <w:r>
        <w:rPr/>
        <w:t xml:space="preserve">(5)</w:t>
      </w:r>
      <w:r>
        <w:rPr/>
        <w:tab/>
        <w:t xml:space="preserve"/>
      </w:r>
      <w:r>
        <w:rPr/>
        <w:t xml:space="preserve">Name of professional services vendor under contract. </w:t>
      </w:r>
    </w:p>
    <w:p>
      <w:pPr>
        <w:pStyle w:val="List3"/>
        <w:pBdr/>
        <w:spacing/>
        <w:rPr/>
      </w:pPr>
      <w:r>
        <w:rPr/>
        <w:t xml:space="preserve">(6)</w:t>
      </w:r>
      <w:r>
        <w:rPr/>
        <w:tab/>
        <w:t xml:space="preserve"/>
      </w:r>
      <w:r>
        <w:rPr/>
        <w:t xml:space="preserve">Length of time of contract. </w:t>
      </w:r>
    </w:p>
    <w:p>
      <w:pPr>
        <w:pStyle w:val="List3"/>
        <w:pBdr/>
        <w:spacing/>
        <w:rPr/>
      </w:pPr>
      <w:r>
        <w:rPr/>
        <w:t xml:space="preserve">(7)</w:t>
      </w:r>
      <w:r>
        <w:rPr/>
        <w:tab/>
        <w:t xml:space="preserve"/>
      </w:r>
      <w:r>
        <w:rPr/>
        <w:t xml:space="preserve">Purpose of contract. </w:t>
      </w:r>
    </w:p>
    <w:p>
      <w:pPr>
        <w:pStyle w:val="List3"/>
        <w:pBdr/>
        <w:spacing/>
        <w:rPr/>
      </w:pPr>
      <w:r>
        <w:rPr/>
        <w:t xml:space="preserve">(8)</w:t>
      </w:r>
      <w:r>
        <w:rPr/>
        <w:tab/>
        <w:t xml:space="preserve"/>
      </w:r>
      <w:r>
        <w:rPr/>
        <w:t xml:space="preserve">Selection of qualified target enterprise. </w:t>
      </w:r>
    </w:p>
    <w:p>
      <w:pPr>
        <w:pStyle w:val="List2"/>
        <w:pBdr/>
        <w:spacing/>
        <w:rPr/>
      </w:pPr>
      <w:r>
        <w:rPr/>
        <w:t xml:space="preserve">(b)</w:t>
      </w:r>
      <w:r>
        <w:rPr/>
        <w:tab/>
        <w:t xml:space="preserve"/>
      </w:r>
      <w:r>
        <w:rPr>
          <w:i/>
        </w:rPr>
        <w:t xml:space="preserve">Distribution:</w:t>
      </w:r>
    </w:p>
    <w:p>
      <w:pPr>
        <w:pStyle w:val="Block3"/>
        <w:pBdr/>
        <w:spacing/>
        <w:rPr/>
      </w:pPr>
      <w:r>
        <w:rPr>
          <w:rStyle w:val="Block3"/>
        </w:rPr>
        <w:t xml:space="preserve">Original copy to comptroller. </w:t>
      </w:r>
    </w:p>
    <w:p>
      <w:pPr>
        <w:pStyle w:val="Block3"/>
        <w:pBdr/>
        <w:spacing/>
        <w:rPr/>
      </w:pPr>
      <w:r>
        <w:rPr>
          <w:rStyle w:val="Block3"/>
        </w:rPr>
        <w:t xml:space="preserve">One (1) copy retained by department administrator. </w:t>
      </w:r>
    </w:p>
    <w:p>
      <w:pPr>
        <w:pStyle w:val="List1"/>
        <w:pBdr/>
        <w:spacing/>
        <w:rPr/>
      </w:pPr>
      <w:r>
        <w:rPr/>
        <w:t xml:space="preserve">(8)</w:t>
      </w:r>
      <w:r>
        <w:rPr/>
        <w:tab/>
        <w:t xml:space="preserve"/>
      </w:r>
      <w:r>
        <w:rPr>
          <w:i/>
        </w:rPr>
        <w:t xml:space="preserve">Comptroller responsibility.</w:t>
      </w:r>
    </w:p>
    <w:p>
      <w:pPr>
        <w:pStyle w:val="List2"/>
        <w:pBdr/>
        <w:spacing/>
        <w:rPr/>
      </w:pPr>
      <w:r>
        <w:rPr/>
        <w:t xml:space="preserve">(a)</w:t>
      </w:r>
      <w:r>
        <w:rPr/>
        <w:tab/>
        <w:t xml:space="preserve"/>
      </w:r>
      <w:r>
        <w:rPr/>
        <w:t xml:space="preserve">The comptroller shall, on a monthly basis, summarize the reports received from department administrators concerning professional services contracts and send one (1) copy to the committee on finance and one (1) copy to the county executive and one (1) copy to CBDP. </w:t>
      </w:r>
    </w:p>
    <w:p>
      <w:pPr>
        <w:pStyle w:val="List2"/>
        <w:pBdr/>
        <w:spacing/>
        <w:rPr/>
      </w:pPr>
      <w:r>
        <w:rPr/>
        <w:t xml:space="preserve">(b)</w:t>
      </w:r>
      <w:r>
        <w:rPr/>
        <w:tab/>
        <w:t xml:space="preserve"/>
      </w:r>
      <w:r>
        <w:rPr/>
        <w:t xml:space="preserve">The comptroller shall deny payment for any payment request for professional services submitted by a contractor to an administrator if all conditions of this chapter have not been met. The comptroller shall report such denials and the reason for denial to the committee on finance along with the monthly report. In such cases, the administrator may appeal the decision to the committee on finance. </w:t>
      </w:r>
    </w:p>
    <w:p>
      <w:pPr>
        <w:pStyle w:val="List1"/>
        <w:pBdr/>
        <w:spacing/>
        <w:rPr/>
      </w:pPr>
      <w:r>
        <w:rPr/>
        <w:t xml:space="preserve">(9)</w:t>
      </w:r>
      <w:r>
        <w:rPr/>
        <w:tab/>
        <w:t xml:space="preserve"/>
      </w:r>
      <w:r>
        <w:rPr>
          <w:i/>
        </w:rPr>
        <w:t xml:space="preserve">Administrator responsibility.</w:t>
      </w:r>
      <w:r>
        <w:rPr/>
        <w:t xml:space="preserve"> It is the responsibility of the administrator, prior to permitting a professional services contractor to perform any work for the county, to comply with all sections of this chapter. Furthermore, no work shall be performed by any professional services contractor unless or until a written contract has been executed and signed by all appropriate officials. </w:t>
      </w:r>
    </w:p>
    <w:p>
      <w:pPr>
        <w:pStyle w:val="List1"/>
        <w:pBdr/>
        <w:spacing/>
        <w:rPr/>
      </w:pPr>
      <w:r>
        <w:rPr/>
        <w:t xml:space="preserve">(10)</w:t>
      </w:r>
      <w:r>
        <w:rPr/>
        <w:tab/>
        <w:t xml:space="preserve"/>
      </w:r>
      <w:r>
        <w:rPr>
          <w:i/>
        </w:rPr>
        <w:t xml:space="preserve">Corporation counsel authority.</w:t>
      </w:r>
    </w:p>
    <w:p>
      <w:pPr>
        <w:pStyle w:val="List2"/>
        <w:pBdr/>
        <w:spacing/>
        <w:rPr/>
      </w:pPr>
      <w:r>
        <w:rPr/>
        <w:t xml:space="preserve">(a)</w:t>
      </w:r>
      <w:r>
        <w:rPr/>
        <w:tab/>
        <w:t xml:space="preserve"/>
      </w:r>
      <w:r>
        <w:rPr/>
        <w:t xml:space="preserve">Any contrary provision of these ordinances notwithstanding, the corporation counsel may enter into a professional services contract to obtain the professional services without regard to the requirements of this section with respect to requests for proposals and prior county board approval, without regard to the goals and procedures established under </w:t>
      </w:r>
      <w:r>
        <w:rPr/>
        <w:t xml:space="preserve">chapter 42</w:t>
      </w:r>
      <w:r>
        <w:rPr/>
        <w:t xml:space="preserve"> of these ordinances and without regard to any other ordinance or resolution which would operate to constrain the corporation counsel's ability to enter into a professional services contract if the corporation counsel determines, in the exercise of the corporation counsel's professional judgment, (i) that such professional services are necessary to assist Milwaukee County to prepare for or prosecute litigation arising out of the enhanced pension benefits which became effective January 1, 2001 in order to assist the likelihood of success of the litigation, and (ii) that the interests of Milwaukee County require timely action and flexibility which preclude the delay inherent in the procedures prescribed in this section and in </w:t>
      </w:r>
      <w:r>
        <w:rPr/>
        <w:t xml:space="preserve">chapter 42</w:t>
      </w:r>
      <w:r>
        <w:rPr/>
        <w:t xml:space="preserve"> of these ordinances. </w:t>
      </w:r>
    </w:p>
    <w:p>
      <w:pPr>
        <w:pStyle w:val="List2"/>
        <w:pBdr/>
        <w:spacing/>
        <w:rPr/>
      </w:pPr>
      <w:r>
        <w:rPr/>
        <w:t xml:space="preserve">(b)</w:t>
      </w:r>
      <w:r>
        <w:rPr/>
        <w:tab/>
        <w:t xml:space="preserve"/>
      </w:r>
      <w:r>
        <w:rPr/>
        <w:t xml:space="preserve">The corporation counsel shall make every reasonable effort to comply with all the requirements of this section, </w:t>
      </w:r>
      <w:r>
        <w:rPr/>
        <w:t xml:space="preserve">chapter 42</w:t>
      </w:r>
      <w:r>
        <w:rPr/>
        <w:t xml:space="preserve">, and any other ordinance or resolution affecting professional service contracts to the extent that the circumstances of the litigation and protection of the interests of Milwaukee County permit. </w:t>
      </w:r>
    </w:p>
    <w:p>
      <w:pPr>
        <w:pStyle w:val="List2"/>
        <w:pBdr/>
        <w:spacing/>
        <w:rPr/>
      </w:pPr>
      <w:r>
        <w:rPr/>
        <w:t xml:space="preserve">(c)</w:t>
      </w:r>
      <w:r>
        <w:rPr/>
        <w:tab/>
        <w:t xml:space="preserve"/>
      </w:r>
      <w:r>
        <w:rPr/>
        <w:t xml:space="preserve">The corporation counsel shall provide a confidential report in a timely manner to the committee on judiciary, law enforcement and general services with respect to any contract entered into under the authority of this subsection. </w:t>
      </w:r>
    </w:p>
    <w:p>
      <w:pPr>
        <w:pBdr/>
        <w:spacing w:before="0" w:after="0"/>
        <w:rPr/>
      </w:pPr>
    </w:p>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2026-05-19 12:39:56 [EST]</w:t>
    </w:r>
  </w:p>
  <w:p>
    <w:pPr>
      <w:pStyle w:val="FooterLeft"/>
      <w:pBdr/>
      <w:spacing/>
      <w:rPr/>
    </w:pPr>
    <w:r>
      <w:rPr/>
      <w:t xml:space="preserve">(Supp. No. 111)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5731A86B"/>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2">
    <w:name w:val="List 2"/>
    <w:basedOn w:val="List1"/>
    <w:uiPriority w:val="5"/>
    <w:qFormat/>
    <w:pPr>
      <w:pBdr/>
      <w:spacing/>
      <w:ind w:left="95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Block1" w:customStyle="1">
    <w:name w:val="Block 1"/>
    <w:basedOn w:val="Normal"/>
    <w:uiPriority w:val="3"/>
    <w:qFormat/>
    <w:pPr>
      <w:pBdr/>
      <w:spacing/>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ListParagraph2" w:customStyle="1">
    <w:name w:val="List Paragraph 2"/>
    <w:basedOn w:val="List1"/>
    <w:uiPriority w:val="98"/>
    <w:semiHidden/>
    <w:unhideWhenUsed/>
    <w:qFormat/>
    <w:pPr>
      <w:pBdr/>
      <w:spacing/>
      <w:ind w:left="950"/>
    </w:pPr>
    <w:rPr/>
  </w:style>
  <w:style w:type="paragraph" w:styleId="HistoryNote" w:customStyle="1">
    <w:name w:val="History Note"/>
    <w:basedOn w:val="Block1"/>
    <w:next w:val="Section"/>
    <w:uiPriority w:val="2"/>
    <w:qFormat/>
    <w:pPr>
      <w:pBdr/>
      <w:spacing w:after="24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4cba33e8-4970-4aea-8830-fd8253fdb1ad" w:customStyle="1">
    <w:name w:val="Normal Table_4cba33e8-4970-4aea-8830-fd8253fdb1a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4cba33e8-4970-4aea-8830-fd8253fdb1ad"/>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9c3e4801-f8d2-405e-9886-94624464ac76" w:customStyle="1">
    <w:name w:val="Normal Table_9c3e4801-f8d2-405e-9886-94624464ac7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9c3e4801-f8d2-405e-9886-94624464ac76"/>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76b211d3-c6a7-4280-b9ba-9f72a1b42d69" w:customStyle="1">
    <w:name w:val="Normal Table_76b211d3-c6a7-4280-b9ba-9f72a1b42d6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91b0e24-ce40-416d-abe4-624bd0ca003c" w:customStyle="1">
    <w:name w:val="Table 1_f91b0e24-ce40-416d-abe4-624bd0ca003c"/>
    <w:basedOn w:val="NormalTable_76b211d3-c6a7-4280-b9ba-9f72a1b42d69"/>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f91b0e24-ce40-416d-abe4-624bd0ca003c"/>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bb37332-f165-40e2-960d-99bf10128a97" w:customStyle="1">
    <w:name w:val="Normal Table_ebb37332-f165-40e2-960d-99bf10128a9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6b207cc-45a5-4d09-924e-e38278514cee" w:customStyle="1">
    <w:name w:val="Table 1_96b207cc-45a5-4d09-924e-e38278514cee"/>
    <w:basedOn w:val="NormalTable_ebb37332-f165-40e2-960d-99bf10128a9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904f6d02-ace0-446b-918c-4c66b3d5766e" w:customStyle="1">
    <w:name w:val="Table 2_904f6d02-ace0-446b-918c-4c66b3d5766e"/>
    <w:basedOn w:val="Table1_96b207cc-45a5-4d09-924e-e38278514ce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904f6d02-ace0-446b-918c-4c66b3d5766e"/>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b09f245-03c2-48fb-9e9c-b00328af41af" w:customStyle="1">
    <w:name w:val="Normal Table_cb09f245-03c2-48fb-9e9c-b00328af41a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2bd4e2a9-393a-4ccc-87f2-a9f630622e31" w:customStyle="1">
    <w:name w:val="Table 1_2bd4e2a9-393a-4ccc-87f2-a9f630622e31"/>
    <w:basedOn w:val="NormalTable_cb09f245-03c2-48fb-9e9c-b00328af41af"/>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3b89e06f-604a-43f7-969c-9b9af5d17f3d" w:customStyle="1">
    <w:name w:val="Table 2_3b89e06f-604a-43f7-969c-9b9af5d17f3d"/>
    <w:basedOn w:val="Table1_2bd4e2a9-393a-4ccc-87f2-a9f630622e31"/>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ec7f7ddd-800d-40a9-a8b3-67ac479cf8bb" w:customStyle="1">
    <w:name w:val="Table 3_ec7f7ddd-800d-40a9-a8b3-67ac479cf8bb"/>
    <w:basedOn w:val="Table2_3b89e06f-604a-43f7-969c-9b9af5d17f3d"/>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ec7f7ddd-800d-40a9-a8b3-67ac479cf8bb"/>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1c8f8ec-9cf6-4b9d-bbda-82ae3a536b9e" w:customStyle="1">
    <w:name w:val="Normal Table_d1c8f8ec-9cf6-4b9d-bbda-82ae3a536b9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10f920d-1b4e-441b-8ad4-19b5138a40d4" w:customStyle="1">
    <w:name w:val="Table 1_910f920d-1b4e-441b-8ad4-19b5138a40d4"/>
    <w:basedOn w:val="NormalTable_d1c8f8ec-9cf6-4b9d-bbda-82ae3a536b9e"/>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253d5316-b920-45b0-8046-e400b407d848" w:customStyle="1">
    <w:name w:val="Table 2_253d5316-b920-45b0-8046-e400b407d848"/>
    <w:basedOn w:val="Table1_910f920d-1b4e-441b-8ad4-19b5138a40d4"/>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988ecc9d-c287-48c5-8ea7-a73b6cd46a57" w:customStyle="1">
    <w:name w:val="Table 3_988ecc9d-c287-48c5-8ea7-a73b6cd46a57"/>
    <w:basedOn w:val="Table2_253d5316-b920-45b0-8046-e400b407d84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e823c8ca-06f7-40b4-a640-8457a39449d2" w:customStyle="1">
    <w:name w:val="Table 4_e823c8ca-06f7-40b4-a640-8457a39449d2"/>
    <w:basedOn w:val="Table3_988ecc9d-c287-48c5-8ea7-a73b6cd46a57"/>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e823c8ca-06f7-40b4-a640-8457a39449d2"/>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236da40d-808c-471a-b3b9-c2c6bfa55943" w:customStyle="1">
    <w:name w:val="Normal Table_236da40d-808c-471a-b3b9-c2c6bfa5594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51c4482-011c-4320-ab51-cce9d46b12e2" w:customStyle="1">
    <w:name w:val="Table 1_e51c4482-011c-4320-ab51-cce9d46b12e2"/>
    <w:basedOn w:val="NormalTable_236da40d-808c-471a-b3b9-c2c6bfa55943"/>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cb6c427c-72c0-4cce-89d6-08c0c2272bc7" w:customStyle="1">
    <w:name w:val="Table 2_cb6c427c-72c0-4cce-89d6-08c0c2272bc7"/>
    <w:basedOn w:val="Table1_e51c4482-011c-4320-ab51-cce9d46b12e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aa5458a0-4a22-4464-9296-9bcf4fc62339" w:customStyle="1">
    <w:name w:val="Table 3_aa5458a0-4a22-4464-9296-9bcf4fc62339"/>
    <w:basedOn w:val="Table2_cb6c427c-72c0-4cce-89d6-08c0c2272bc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d512f50-5d38-4f48-bf97-21eb0f6c26ea" w:customStyle="1">
    <w:name w:val="Table 4_5d512f50-5d38-4f48-bf97-21eb0f6c26ea"/>
    <w:basedOn w:val="Table3_aa5458a0-4a22-4464-9296-9bcf4fc62339"/>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4345bb5d-ddc1-462b-a113-40e22d9d95a8" w:customStyle="1">
    <w:name w:val="Table 5_4345bb5d-ddc1-462b-a113-40e22d9d95a8"/>
    <w:basedOn w:val="Table4_5d512f50-5d38-4f48-bf97-21eb0f6c26ea"/>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4345bb5d-ddc1-462b-a113-40e22d9d95a8"/>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f80203ab-95d2-4647-bdd6-7360f97f436b" w:customStyle="1">
    <w:name w:val="Normal Table_f80203ab-95d2-4647-bdd6-7360f97f436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72848ab-1c66-4fea-a406-a35b113a0592" w:customStyle="1">
    <w:name w:val="Table 1_472848ab-1c66-4fea-a406-a35b113a0592"/>
    <w:basedOn w:val="NormalTable_f80203ab-95d2-4647-bdd6-7360f97f436b"/>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3bce86c-6b7b-49fb-9e6a-108d9f788297" w:customStyle="1">
    <w:name w:val="Table 2_53bce86c-6b7b-49fb-9e6a-108d9f788297"/>
    <w:basedOn w:val="Table1_472848ab-1c66-4fea-a406-a35b113a059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ec47c873-b39a-4d1f-b965-3d9667555c3b" w:customStyle="1">
    <w:name w:val="Table 3_ec47c873-b39a-4d1f-b965-3d9667555c3b"/>
    <w:basedOn w:val="Table2_53bce86c-6b7b-49fb-9e6a-108d9f78829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442a3a6a-54b9-479b-9fd4-3ed010a3faef" w:customStyle="1">
    <w:name w:val="Table 4_442a3a6a-54b9-479b-9fd4-3ed010a3faef"/>
    <w:basedOn w:val="Table3_ec47c873-b39a-4d1f-b965-3d9667555c3b"/>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548f29df-6d2a-4c11-b3ec-8d79bf002c35" w:customStyle="1">
    <w:name w:val="Table 5_548f29df-6d2a-4c11-b3ec-8d79bf002c35"/>
    <w:basedOn w:val="Table4_442a3a6a-54b9-479b-9fd4-3ed010a3faef"/>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b3f54161-59bd-451b-92a2-6668c5a96e83" w:customStyle="1">
    <w:name w:val="Table 6_b3f54161-59bd-451b-92a2-6668c5a96e83"/>
    <w:basedOn w:val="Table5_548f29df-6d2a-4c11-b3ec-8d79bf002c35"/>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b3f54161-59bd-451b-92a2-6668c5a96e83"/>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7efec71b-208a-40e7-a584-416d0a5e17eb" w:customStyle="1">
    <w:name w:val="Normal Table_7efec71b-208a-40e7-a584-416d0a5e17e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b713e090-40d2-4b8b-b38e-ae9d991c094b" w:customStyle="1">
    <w:name w:val="Table 1_b713e090-40d2-4b8b-b38e-ae9d991c094b"/>
    <w:basedOn w:val="NormalTable_7efec71b-208a-40e7-a584-416d0a5e17eb"/>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1df17c0-05a1-4e06-855f-65e0a7ff6d51" w:customStyle="1">
    <w:name w:val="Table 2_81df17c0-05a1-4e06-855f-65e0a7ff6d51"/>
    <w:basedOn w:val="Table1_b713e090-40d2-4b8b-b38e-ae9d991c094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a260994-5778-4ec7-9fcf-7e2a4db5064b" w:customStyle="1">
    <w:name w:val="Table 3_5a260994-5778-4ec7-9fcf-7e2a4db5064b"/>
    <w:basedOn w:val="Table2_81df17c0-05a1-4e06-855f-65e0a7ff6d5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f500fe33-f384-49d2-a586-836a473759b2" w:customStyle="1">
    <w:name w:val="Table 4_f500fe33-f384-49d2-a586-836a473759b2"/>
    <w:basedOn w:val="Table3_5a260994-5778-4ec7-9fcf-7e2a4db5064b"/>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201d778f-5ef6-409e-8f7d-bac8e3a6cfaa" w:customStyle="1">
    <w:name w:val="Table 5_201d778f-5ef6-409e-8f7d-bac8e3a6cfaa"/>
    <w:basedOn w:val="Table4_f500fe33-f384-49d2-a586-836a473759b2"/>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aacf0fb6-9c35-4c51-8a6c-93300c8a39de" w:customStyle="1">
    <w:name w:val="Table 6_aacf0fb6-9c35-4c51-8a6c-93300c8a39de"/>
    <w:basedOn w:val="Table5_201d778f-5ef6-409e-8f7d-bac8e3a6cfaa"/>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968188c3-9a0f-468e-b910-b931bedf89a7" w:customStyle="1">
    <w:name w:val="Table 7_968188c3-9a0f-468e-b910-b931bedf89a7"/>
    <w:basedOn w:val="Table6_aacf0fb6-9c35-4c51-8a6c-93300c8a39de"/>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968188c3-9a0f-468e-b910-b931bedf89a7"/>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97f27305-72b7-4c29-89fa-a023c289e951" w:customStyle="1">
    <w:name w:val="Normal Table_97f27305-72b7-4c29-89fa-a023c289e95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25f3db1-77f4-4c31-b439-addfd1a0cca1" w:customStyle="1">
    <w:name w:val="Table 1_925f3db1-77f4-4c31-b439-addfd1a0cca1"/>
    <w:basedOn w:val="NormalTable_97f27305-72b7-4c29-89fa-a023c289e95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94fe71d1-bdc6-4cdd-8a3a-cd4fb137e978" w:customStyle="1">
    <w:name w:val="Table 2_94fe71d1-bdc6-4cdd-8a3a-cd4fb137e978"/>
    <w:basedOn w:val="Table1_925f3db1-77f4-4c31-b439-addfd1a0cca1"/>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b76ab941-79fb-4afa-a6ef-7aa6cf12d3b2" w:customStyle="1">
    <w:name w:val="Table 3_b76ab941-79fb-4afa-a6ef-7aa6cf12d3b2"/>
    <w:basedOn w:val="Table2_94fe71d1-bdc6-4cdd-8a3a-cd4fb137e97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dba0eea4-c56d-4dbf-a98a-06ce070dd6d1" w:customStyle="1">
    <w:name w:val="Table 4_dba0eea4-c56d-4dbf-a98a-06ce070dd6d1"/>
    <w:basedOn w:val="Table3_b76ab941-79fb-4afa-a6ef-7aa6cf12d3b2"/>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3bac7dff-b12f-43a1-af98-cdebf5a8bff6" w:customStyle="1">
    <w:name w:val="Table 5_3bac7dff-b12f-43a1-af98-cdebf5a8bff6"/>
    <w:basedOn w:val="Table4_dba0eea4-c56d-4dbf-a98a-06ce070dd6d1"/>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d68ea3b8-41e1-42dd-9445-2d2da0cd5bed" w:customStyle="1">
    <w:name w:val="Table 6_d68ea3b8-41e1-42dd-9445-2d2da0cd5bed"/>
    <w:basedOn w:val="Table5_3bac7dff-b12f-43a1-af98-cdebf5a8bff6"/>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d72ce1a2-1aeb-42ca-8d97-b165115d8946" w:customStyle="1">
    <w:name w:val="Table 7_d72ce1a2-1aeb-42ca-8d97-b165115d8946"/>
    <w:basedOn w:val="Table6_d68ea3b8-41e1-42dd-9445-2d2da0cd5bed"/>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1685c38d-1c57-453f-b3f4-d8352a5140a8" w:customStyle="1">
    <w:name w:val="Table 8_1685c38d-1c57-453f-b3f4-d8352a5140a8"/>
    <w:basedOn w:val="Table7_d72ce1a2-1aeb-42ca-8d97-b165115d8946"/>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1685c38d-1c57-453f-b3f4-d8352a5140a8"/>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ede5dd0-2153-4323-9d49-e5dd8c3d32ed" w:customStyle="1">
    <w:name w:val="Normal Table_3ede5dd0-2153-4323-9d49-e5dd8c3d32e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3ede5dd0-2153-4323-9d49-e5dd8c3d32e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bceddac5-7c8e-4a7d-8827-afbcdb3cbbec" w:customStyle="1">
    <w:name w:val="Normal Table_bceddac5-7c8e-4a7d-8827-afbcdb3cbbe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8ed24da-03b4-4db5-a857-14e62d677404" w:customStyle="1">
    <w:name w:val="Table NoRule 1_48ed24da-03b4-4db5-a857-14e62d677404"/>
    <w:basedOn w:val="NormalTable_bceddac5-7c8e-4a7d-8827-afbcdb3cbbec"/>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48ed24da-03b4-4db5-a857-14e62d677404"/>
    <w:uiPriority w:val="99"/>
    <w:pPr>
      <w:pBdr/>
      <w:spacing/>
    </w:pPr>
    <w:rPr/>
    <w:tblPr>
      <w:tblInd w:w="475" w:type="dxa"/>
      <w:tblBorders/>
      <w:tblCellMar/>
    </w:tblPr>
    <w:trPr/>
    <w:tcPr>
      <w:tcBorders/>
      <w:shd w:val="clear" w:color="auto" w:fill="auto"/>
      <w:tcMar/>
      <w:vAlign w:val="top"/>
    </w:tcPr>
  </w:style>
  <w:style w:type="table" w:styleId="NormalTable_045ad255-ac62-43c5-a9b6-15901e9af944" w:customStyle="1">
    <w:name w:val="Normal Table_045ad255-ac62-43c5-a9b6-15901e9af94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61e27ec6-7cce-474b-89e8-997a80552c02" w:customStyle="1">
    <w:name w:val="Table NoRule 1_61e27ec6-7cce-474b-89e8-997a80552c02"/>
    <w:basedOn w:val="NormalTable_045ad255-ac62-43c5-a9b6-15901e9af944"/>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b7c5df42-f30d-4de7-b2d0-882525cae382" w:customStyle="1">
    <w:name w:val="Table NoRule 2_b7c5df42-f30d-4de7-b2d0-882525cae382"/>
    <w:basedOn w:val="TableNoRule1_61e27ec6-7cce-474b-89e8-997a80552c02"/>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b7c5df42-f30d-4de7-b2d0-882525cae382"/>
    <w:uiPriority w:val="99"/>
    <w:pPr>
      <w:pBdr/>
      <w:spacing/>
    </w:pPr>
    <w:rPr/>
    <w:tblPr>
      <w:tblInd w:w="950" w:type="dxa"/>
      <w:tblBorders/>
      <w:tblCellMar/>
    </w:tblPr>
    <w:trPr/>
    <w:tcPr>
      <w:tcBorders/>
      <w:shd w:val="clear" w:color="auto" w:fill="auto"/>
      <w:tcMar/>
      <w:vAlign w:val="top"/>
    </w:tcPr>
  </w:style>
  <w:style w:type="table" w:styleId="NormalTable_87f51dae-8db7-4210-8d4c-512b97987844" w:customStyle="1">
    <w:name w:val="Normal Table_87f51dae-8db7-4210-8d4c-512b9798784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c47b0600-c98c-4a09-a36b-6f936c7255e5" w:customStyle="1">
    <w:name w:val="Table NoRule 1_c47b0600-c98c-4a09-a36b-6f936c7255e5"/>
    <w:basedOn w:val="NormalTable_87f51dae-8db7-4210-8d4c-512b97987844"/>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7845cf2c-7721-44b7-a6b7-9ec3d29d7da2" w:customStyle="1">
    <w:name w:val="Table NoRule 2_7845cf2c-7721-44b7-a6b7-9ec3d29d7da2"/>
    <w:basedOn w:val="TableNoRule1_c47b0600-c98c-4a09-a36b-6f936c7255e5"/>
    <w:uiPriority w:val="99"/>
    <w:pPr>
      <w:pBdr/>
      <w:spacing/>
    </w:pPr>
    <w:rPr/>
    <w:tblPr>
      <w:tblInd w:w="475" w:type="dxa"/>
      <w:tblBorders/>
      <w:tblCellMar/>
    </w:tblPr>
    <w:trPr/>
    <w:tcPr>
      <w:tcBorders/>
      <w:shd w:val="clear" w:color="auto" w:fill="auto"/>
      <w:tcMar/>
      <w:vAlign w:val="top"/>
    </w:tcPr>
  </w:style>
  <w:style w:type="table" w:styleId="TableNoRule3_f26f890e-ca6c-40d7-83f8-0df81f52c7f5" w:customStyle="1">
    <w:name w:val="Table NoRule 3_f26f890e-ca6c-40d7-83f8-0df81f52c7f5"/>
    <w:basedOn w:val="TableNoRule2_7845cf2c-7721-44b7-a6b7-9ec3d29d7da2"/>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f26f890e-ca6c-40d7-83f8-0df81f52c7f5"/>
    <w:uiPriority w:val="99"/>
    <w:pPr>
      <w:pBdr/>
      <w:spacing/>
    </w:pPr>
    <w:rPr/>
    <w:tblPr>
      <w:tblInd w:w="1440" w:type="dxa"/>
      <w:tblBorders/>
      <w:tblCellMar/>
    </w:tblPr>
    <w:trPr/>
    <w:tcPr>
      <w:tcBorders/>
      <w:shd w:val="clear" w:color="auto" w:fill="auto"/>
      <w:tcMar/>
      <w:vAlign w:val="top"/>
    </w:tcPr>
  </w:style>
  <w:style w:type="table" w:styleId="NormalTable_365d5e4a-a95e-42cf-8fba-c8575a3fe5c7" w:customStyle="1">
    <w:name w:val="Normal Table_365d5e4a-a95e-42cf-8fba-c8575a3fe5c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99dca56-4dbf-45eb-bad4-2ef5407f763e" w:customStyle="1">
    <w:name w:val="Table NoRule 1_799dca56-4dbf-45eb-bad4-2ef5407f763e"/>
    <w:basedOn w:val="NormalTable_365d5e4a-a95e-42cf-8fba-c8575a3fe5c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8137a6d7-aaf0-4e34-b683-8c9a02171066" w:customStyle="1">
    <w:name w:val="Table NoRule 2_8137a6d7-aaf0-4e34-b683-8c9a02171066"/>
    <w:basedOn w:val="TableNoRule1_799dca56-4dbf-45eb-bad4-2ef5407f763e"/>
    <w:uiPriority w:val="99"/>
    <w:pPr>
      <w:pBdr/>
      <w:spacing/>
    </w:pPr>
    <w:rPr/>
    <w:tblPr>
      <w:tblInd w:w="475" w:type="dxa"/>
      <w:tblBorders/>
      <w:tblCellMar/>
    </w:tblPr>
    <w:trPr/>
    <w:tcPr>
      <w:tcBorders/>
      <w:shd w:val="clear" w:color="auto" w:fill="auto"/>
      <w:tcMar/>
      <w:vAlign w:val="top"/>
    </w:tcPr>
  </w:style>
  <w:style w:type="table" w:styleId="TableNoRule3_39da484d-8110-41b1-b23b-3ab684653d6f" w:customStyle="1">
    <w:name w:val="Table NoRule 3_39da484d-8110-41b1-b23b-3ab684653d6f"/>
    <w:basedOn w:val="TableNoRule2_8137a6d7-aaf0-4e34-b683-8c9a02171066"/>
    <w:uiPriority w:val="99"/>
    <w:pPr>
      <w:pBdr/>
      <w:spacing/>
    </w:pPr>
    <w:rPr/>
    <w:tblPr>
      <w:tblInd w:w="950" w:type="dxa"/>
      <w:tblBorders/>
      <w:tblCellMar/>
    </w:tblPr>
    <w:trPr/>
    <w:tcPr>
      <w:tcBorders/>
      <w:shd w:val="clear" w:color="auto" w:fill="auto"/>
      <w:tcMar/>
      <w:vAlign w:val="top"/>
    </w:tcPr>
  </w:style>
  <w:style w:type="table" w:styleId="TableNoRule4_2fcf819b-f1c2-4988-a98d-e83b60c805da" w:customStyle="1">
    <w:name w:val="Table NoRule 4_2fcf819b-f1c2-4988-a98d-e83b60c805da"/>
    <w:basedOn w:val="TableNoRule3_39da484d-8110-41b1-b23b-3ab684653d6f"/>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2fcf819b-f1c2-4988-a98d-e83b60c805da"/>
    <w:uiPriority w:val="99"/>
    <w:pPr>
      <w:pBdr/>
      <w:spacing/>
    </w:pPr>
    <w:rPr/>
    <w:tblPr>
      <w:tblInd w:w="1915" w:type="dxa"/>
      <w:tblBorders/>
      <w:tblCellMar/>
    </w:tblPr>
    <w:trPr/>
    <w:tcPr>
      <w:tcBorders/>
      <w:shd w:val="clear" w:color="auto" w:fill="auto"/>
      <w:tcMar/>
      <w:vAlign w:val="top"/>
    </w:tcPr>
  </w:style>
  <w:style w:type="table" w:styleId="NormalTable_27090d15-77d9-47df-a70a-bf7e4b161d0e" w:customStyle="1">
    <w:name w:val="Normal Table_27090d15-77d9-47df-a70a-bf7e4b161d0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208b6fff-8dac-410e-8f26-9e24576f8792" w:customStyle="1">
    <w:name w:val="Table NoRule 1_208b6fff-8dac-410e-8f26-9e24576f8792"/>
    <w:basedOn w:val="NormalTable_27090d15-77d9-47df-a70a-bf7e4b161d0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1318679-8107-4ce8-a17d-b7f5e63fc3e8" w:customStyle="1">
    <w:name w:val="Table NoRule 2_f1318679-8107-4ce8-a17d-b7f5e63fc3e8"/>
    <w:basedOn w:val="TableNoRule1_208b6fff-8dac-410e-8f26-9e24576f8792"/>
    <w:uiPriority w:val="99"/>
    <w:pPr>
      <w:pBdr/>
      <w:spacing/>
    </w:pPr>
    <w:rPr/>
    <w:tblPr>
      <w:tblInd w:w="475" w:type="dxa"/>
      <w:tblBorders/>
      <w:tblCellMar/>
    </w:tblPr>
    <w:trPr/>
    <w:tcPr>
      <w:tcBorders/>
      <w:shd w:val="clear" w:color="auto" w:fill="auto"/>
      <w:tcMar/>
      <w:vAlign w:val="top"/>
    </w:tcPr>
  </w:style>
  <w:style w:type="table" w:styleId="TableNoRule3_2283dc81-ed69-4ec0-8af4-7470d71e05f6" w:customStyle="1">
    <w:name w:val="Table NoRule 3_2283dc81-ed69-4ec0-8af4-7470d71e05f6"/>
    <w:basedOn w:val="TableNoRule2_f1318679-8107-4ce8-a17d-b7f5e63fc3e8"/>
    <w:uiPriority w:val="99"/>
    <w:pPr>
      <w:pBdr/>
      <w:spacing/>
    </w:pPr>
    <w:rPr/>
    <w:tblPr>
      <w:tblInd w:w="950" w:type="dxa"/>
      <w:tblBorders/>
      <w:tblCellMar/>
    </w:tblPr>
    <w:trPr/>
    <w:tcPr>
      <w:tcBorders/>
      <w:shd w:val="clear" w:color="auto" w:fill="auto"/>
      <w:tcMar/>
      <w:vAlign w:val="top"/>
    </w:tcPr>
  </w:style>
  <w:style w:type="table" w:styleId="TableNoRule4_a697c84d-eb18-46b0-99e0-31efcf274f27" w:customStyle="1">
    <w:name w:val="Table NoRule 4_a697c84d-eb18-46b0-99e0-31efcf274f27"/>
    <w:basedOn w:val="TableNoRule3_2283dc81-ed69-4ec0-8af4-7470d71e05f6"/>
    <w:uiPriority w:val="99"/>
    <w:pPr>
      <w:pBdr/>
      <w:spacing/>
    </w:pPr>
    <w:rPr/>
    <w:tblPr>
      <w:tblInd w:w="1440" w:type="dxa"/>
      <w:tblBorders/>
      <w:tblCellMar/>
    </w:tblPr>
    <w:trPr/>
    <w:tcPr>
      <w:tcBorders/>
      <w:shd w:val="clear" w:color="auto" w:fill="auto"/>
      <w:tcMar/>
      <w:vAlign w:val="top"/>
    </w:tcPr>
  </w:style>
  <w:style w:type="table" w:styleId="TableNoRule5_975bda76-b3ad-4b0f-aacc-378a3385004d" w:customStyle="1">
    <w:name w:val="Table NoRule 5_975bda76-b3ad-4b0f-aacc-378a3385004d"/>
    <w:basedOn w:val="TableNoRule4_a697c84d-eb18-46b0-99e0-31efcf274f27"/>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975bda76-b3ad-4b0f-aacc-378a3385004d"/>
    <w:uiPriority w:val="99"/>
    <w:pPr>
      <w:pBdr/>
      <w:spacing/>
    </w:pPr>
    <w:rPr/>
    <w:tblPr>
      <w:tblInd w:w="2390" w:type="dxa"/>
      <w:tblBorders/>
      <w:tblCellMar/>
    </w:tblPr>
    <w:trPr/>
    <w:tcPr>
      <w:tcBorders/>
      <w:shd w:val="clear" w:color="auto" w:fill="auto"/>
      <w:tcMar/>
      <w:vAlign w:val="top"/>
    </w:tcPr>
  </w:style>
  <w:style w:type="table" w:styleId="NormalTable_277d0cfc-acbe-4be4-b4d5-2c539a60a9b9" w:customStyle="1">
    <w:name w:val="Normal Table_277d0cfc-acbe-4be4-b4d5-2c539a60a9b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3837ef8c-e874-4582-a719-0fda53a66692" w:customStyle="1">
    <w:name w:val="Table NoRule 1_3837ef8c-e874-4582-a719-0fda53a66692"/>
    <w:basedOn w:val="NormalTable_277d0cfc-acbe-4be4-b4d5-2c539a60a9b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5f3ab57-9c57-412f-8741-cf17ef931da3" w:customStyle="1">
    <w:name w:val="Table NoRule 2_55f3ab57-9c57-412f-8741-cf17ef931da3"/>
    <w:basedOn w:val="TableNoRule1_3837ef8c-e874-4582-a719-0fda53a66692"/>
    <w:uiPriority w:val="99"/>
    <w:pPr>
      <w:pBdr/>
      <w:spacing/>
    </w:pPr>
    <w:rPr/>
    <w:tblPr>
      <w:tblInd w:w="475" w:type="dxa"/>
      <w:tblBorders/>
      <w:tblCellMar/>
    </w:tblPr>
    <w:trPr/>
    <w:tcPr>
      <w:tcBorders/>
      <w:shd w:val="clear" w:color="auto" w:fill="auto"/>
      <w:tcMar/>
      <w:vAlign w:val="top"/>
    </w:tcPr>
  </w:style>
  <w:style w:type="table" w:styleId="TableNoRule3_2dd9f3e1-c71d-4b77-bfb1-56ac545ffe25" w:customStyle="1">
    <w:name w:val="Table NoRule 3_2dd9f3e1-c71d-4b77-bfb1-56ac545ffe25"/>
    <w:basedOn w:val="TableNoRule2_55f3ab57-9c57-412f-8741-cf17ef931da3"/>
    <w:uiPriority w:val="99"/>
    <w:pPr>
      <w:pBdr/>
      <w:spacing/>
    </w:pPr>
    <w:rPr/>
    <w:tblPr>
      <w:tblInd w:w="950" w:type="dxa"/>
      <w:tblBorders/>
      <w:tblCellMar/>
    </w:tblPr>
    <w:trPr/>
    <w:tcPr>
      <w:tcBorders/>
      <w:shd w:val="clear" w:color="auto" w:fill="auto"/>
      <w:tcMar/>
      <w:vAlign w:val="top"/>
    </w:tcPr>
  </w:style>
  <w:style w:type="table" w:styleId="TableNoRule4_c58c4026-c917-4449-a125-ece43f3879db" w:customStyle="1">
    <w:name w:val="Table NoRule 4_c58c4026-c917-4449-a125-ece43f3879db"/>
    <w:basedOn w:val="TableNoRule3_2dd9f3e1-c71d-4b77-bfb1-56ac545ffe25"/>
    <w:uiPriority w:val="99"/>
    <w:pPr>
      <w:pBdr/>
      <w:spacing/>
    </w:pPr>
    <w:rPr/>
    <w:tblPr>
      <w:tblInd w:w="1440" w:type="dxa"/>
      <w:tblBorders/>
      <w:tblCellMar/>
    </w:tblPr>
    <w:trPr/>
    <w:tcPr>
      <w:tcBorders/>
      <w:shd w:val="clear" w:color="auto" w:fill="auto"/>
      <w:tcMar/>
      <w:vAlign w:val="top"/>
    </w:tcPr>
  </w:style>
  <w:style w:type="table" w:styleId="TableNoRule5_dcab85df-5e00-41cf-897a-ef54c5c793cb" w:customStyle="1">
    <w:name w:val="Table NoRule 5_dcab85df-5e00-41cf-897a-ef54c5c793cb"/>
    <w:basedOn w:val="TableNoRule4_c58c4026-c917-4449-a125-ece43f3879db"/>
    <w:uiPriority w:val="99"/>
    <w:pPr>
      <w:pBdr/>
      <w:spacing/>
    </w:pPr>
    <w:rPr/>
    <w:tblPr>
      <w:tblInd w:w="1915" w:type="dxa"/>
      <w:tblBorders/>
      <w:tblCellMar/>
    </w:tblPr>
    <w:trPr/>
    <w:tcPr>
      <w:tcBorders/>
      <w:shd w:val="clear" w:color="auto" w:fill="auto"/>
      <w:tcMar/>
      <w:vAlign w:val="top"/>
    </w:tcPr>
  </w:style>
  <w:style w:type="table" w:styleId="TableNoRule6_4edf49cb-a06d-4e75-b840-42868fd167c8" w:customStyle="1">
    <w:name w:val="Table NoRule 6_4edf49cb-a06d-4e75-b840-42868fd167c8"/>
    <w:basedOn w:val="TableNoRule5_dcab85df-5e00-41cf-897a-ef54c5c793cb"/>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4edf49cb-a06d-4e75-b840-42868fd167c8"/>
    <w:uiPriority w:val="99"/>
    <w:pPr>
      <w:pBdr/>
      <w:spacing/>
    </w:pPr>
    <w:rPr/>
    <w:tblPr>
      <w:tblInd w:w="2880" w:type="dxa"/>
      <w:tblBorders/>
      <w:tblCellMar/>
    </w:tblPr>
    <w:trPr/>
    <w:tcPr>
      <w:tcBorders/>
      <w:shd w:val="clear" w:color="auto" w:fill="auto"/>
      <w:tcMar/>
      <w:vAlign w:val="top"/>
    </w:tcPr>
  </w:style>
  <w:style w:type="table" w:styleId="NormalTable_8909d99c-3bfa-4ef0-9b0e-e2ec581182d3" w:customStyle="1">
    <w:name w:val="Normal Table_8909d99c-3bfa-4ef0-9b0e-e2ec581182d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c199852-0ec5-4255-b52a-ad4104e4fb7a" w:customStyle="1">
    <w:name w:val="Table NoRule 1_ec199852-0ec5-4255-b52a-ad4104e4fb7a"/>
    <w:basedOn w:val="NormalTable_8909d99c-3bfa-4ef0-9b0e-e2ec581182d3"/>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04cf1ef-3fba-4b62-acca-6ab1f91168b5" w:customStyle="1">
    <w:name w:val="Table NoRule 2_104cf1ef-3fba-4b62-acca-6ab1f91168b5"/>
    <w:basedOn w:val="TableNoRule1_ec199852-0ec5-4255-b52a-ad4104e4fb7a"/>
    <w:uiPriority w:val="99"/>
    <w:pPr>
      <w:pBdr/>
      <w:spacing/>
    </w:pPr>
    <w:rPr/>
    <w:tblPr>
      <w:tblInd w:w="475" w:type="dxa"/>
      <w:tblBorders/>
      <w:tblCellMar/>
    </w:tblPr>
    <w:trPr/>
    <w:tcPr>
      <w:tcBorders/>
      <w:shd w:val="clear" w:color="auto" w:fill="auto"/>
      <w:tcMar/>
      <w:vAlign w:val="top"/>
    </w:tcPr>
  </w:style>
  <w:style w:type="table" w:styleId="TableNoRule3_245b6ef6-3a73-4a7a-ab7d-4f174649d482" w:customStyle="1">
    <w:name w:val="Table NoRule 3_245b6ef6-3a73-4a7a-ab7d-4f174649d482"/>
    <w:basedOn w:val="TableNoRule2_104cf1ef-3fba-4b62-acca-6ab1f91168b5"/>
    <w:uiPriority w:val="99"/>
    <w:pPr>
      <w:pBdr/>
      <w:spacing/>
    </w:pPr>
    <w:rPr/>
    <w:tblPr>
      <w:tblInd w:w="950" w:type="dxa"/>
      <w:tblBorders/>
      <w:tblCellMar/>
    </w:tblPr>
    <w:trPr/>
    <w:tcPr>
      <w:tcBorders/>
      <w:shd w:val="clear" w:color="auto" w:fill="auto"/>
      <w:tcMar/>
      <w:vAlign w:val="top"/>
    </w:tcPr>
  </w:style>
  <w:style w:type="table" w:styleId="TableNoRule4_a557752b-02ec-4d0f-9338-1a357df80849" w:customStyle="1">
    <w:name w:val="Table NoRule 4_a557752b-02ec-4d0f-9338-1a357df80849"/>
    <w:basedOn w:val="TableNoRule3_245b6ef6-3a73-4a7a-ab7d-4f174649d482"/>
    <w:uiPriority w:val="99"/>
    <w:pPr>
      <w:pBdr/>
      <w:spacing/>
    </w:pPr>
    <w:rPr/>
    <w:tblPr>
      <w:tblInd w:w="1440" w:type="dxa"/>
      <w:tblBorders/>
      <w:tblCellMar/>
    </w:tblPr>
    <w:trPr/>
    <w:tcPr>
      <w:tcBorders/>
      <w:shd w:val="clear" w:color="auto" w:fill="auto"/>
      <w:tcMar/>
      <w:vAlign w:val="top"/>
    </w:tcPr>
  </w:style>
  <w:style w:type="table" w:styleId="TableNoRule5_25104e2b-f5b6-42b2-a09d-4a9bb99fb6e3" w:customStyle="1">
    <w:name w:val="Table NoRule 5_25104e2b-f5b6-42b2-a09d-4a9bb99fb6e3"/>
    <w:basedOn w:val="TableNoRule4_a557752b-02ec-4d0f-9338-1a357df80849"/>
    <w:uiPriority w:val="99"/>
    <w:pPr>
      <w:pBdr/>
      <w:spacing/>
    </w:pPr>
    <w:rPr/>
    <w:tblPr>
      <w:tblInd w:w="1915" w:type="dxa"/>
      <w:tblBorders/>
      <w:tblCellMar/>
    </w:tblPr>
    <w:trPr/>
    <w:tcPr>
      <w:tcBorders/>
      <w:shd w:val="clear" w:color="auto" w:fill="auto"/>
      <w:tcMar/>
      <w:vAlign w:val="top"/>
    </w:tcPr>
  </w:style>
  <w:style w:type="table" w:styleId="TableNoRule6_d59892e9-d504-440f-a5a5-1c81f1e7b064" w:customStyle="1">
    <w:name w:val="Table NoRule 6_d59892e9-d504-440f-a5a5-1c81f1e7b064"/>
    <w:basedOn w:val="TableNoRule5_25104e2b-f5b6-42b2-a09d-4a9bb99fb6e3"/>
    <w:uiPriority w:val="99"/>
    <w:pPr>
      <w:pBdr/>
      <w:spacing/>
    </w:pPr>
    <w:rPr/>
    <w:tblPr>
      <w:tblInd w:w="2390" w:type="dxa"/>
      <w:tblBorders/>
      <w:tblCellMar/>
    </w:tblPr>
    <w:trPr/>
    <w:tcPr>
      <w:tcBorders/>
      <w:shd w:val="clear" w:color="auto" w:fill="auto"/>
      <w:tcMar/>
      <w:vAlign w:val="top"/>
    </w:tcPr>
  </w:style>
  <w:style w:type="table" w:styleId="TableNoRule7_7ef33878-435b-4a37-b268-7d1a4d695339" w:customStyle="1">
    <w:name w:val="Table NoRule 7_7ef33878-435b-4a37-b268-7d1a4d695339"/>
    <w:basedOn w:val="TableNoRule6_d59892e9-d504-440f-a5a5-1c81f1e7b064"/>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7ef33878-435b-4a37-b268-7d1a4d695339"/>
    <w:uiPriority w:val="99"/>
    <w:pPr>
      <w:pBdr/>
      <w:spacing/>
    </w:pPr>
    <w:rPr/>
    <w:tblPr>
      <w:tblInd w:w="3355" w:type="dxa"/>
      <w:tblBorders/>
      <w:tblCellMar/>
    </w:tblPr>
    <w:trPr/>
    <w:tcPr>
      <w:tcBorders/>
      <w:shd w:val="clear" w:color="auto" w:fill="auto"/>
      <w:tcMar/>
      <w:vAlign w:val="top"/>
    </w:tcPr>
  </w:style>
  <w:style w:type="table" w:styleId="NormalTable_5e650e32-5a57-4eff-aa4f-bd4aa88f211c" w:customStyle="1">
    <w:name w:val="Normal Table_5e650e32-5a57-4eff-aa4f-bd4aa88f211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581a6839-bec1-46c8-80ac-11db909c02f4" w:customStyle="1">
    <w:name w:val="Table NoRule 1_581a6839-bec1-46c8-80ac-11db909c02f4"/>
    <w:basedOn w:val="NormalTable_5e650e32-5a57-4eff-aa4f-bd4aa88f211c"/>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f7dfbc9-daaf-4e84-8d57-276b6ee998b4" w:customStyle="1">
    <w:name w:val="Table NoRule 2_6f7dfbc9-daaf-4e84-8d57-276b6ee998b4"/>
    <w:basedOn w:val="TableNoRule1_581a6839-bec1-46c8-80ac-11db909c02f4"/>
    <w:uiPriority w:val="99"/>
    <w:pPr>
      <w:pBdr/>
      <w:spacing/>
    </w:pPr>
    <w:rPr/>
    <w:tblPr>
      <w:tblInd w:w="475" w:type="dxa"/>
      <w:tblBorders/>
      <w:tblCellMar/>
    </w:tblPr>
    <w:trPr/>
    <w:tcPr>
      <w:tcBorders/>
      <w:shd w:val="clear" w:color="auto" w:fill="auto"/>
      <w:tcMar/>
      <w:vAlign w:val="top"/>
    </w:tcPr>
  </w:style>
  <w:style w:type="table" w:styleId="TableNoRule3_a4cd816f-35bd-4f04-8007-0f9a0dbe1cbe" w:customStyle="1">
    <w:name w:val="Table NoRule 3_a4cd816f-35bd-4f04-8007-0f9a0dbe1cbe"/>
    <w:basedOn w:val="TableNoRule2_6f7dfbc9-daaf-4e84-8d57-276b6ee998b4"/>
    <w:uiPriority w:val="99"/>
    <w:pPr>
      <w:pBdr/>
      <w:spacing/>
    </w:pPr>
    <w:rPr/>
    <w:tblPr>
      <w:tblInd w:w="950" w:type="dxa"/>
      <w:tblBorders/>
      <w:tblCellMar/>
    </w:tblPr>
    <w:trPr/>
    <w:tcPr>
      <w:tcBorders/>
      <w:shd w:val="clear" w:color="auto" w:fill="auto"/>
      <w:tcMar/>
      <w:vAlign w:val="top"/>
    </w:tcPr>
  </w:style>
  <w:style w:type="table" w:styleId="TableNoRule4_0beb81e7-3795-4967-996c-bc9b2be47142" w:customStyle="1">
    <w:name w:val="Table NoRule 4_0beb81e7-3795-4967-996c-bc9b2be47142"/>
    <w:basedOn w:val="TableNoRule3_a4cd816f-35bd-4f04-8007-0f9a0dbe1cbe"/>
    <w:uiPriority w:val="99"/>
    <w:pPr>
      <w:pBdr/>
      <w:spacing/>
    </w:pPr>
    <w:rPr/>
    <w:tblPr>
      <w:tblInd w:w="1440" w:type="dxa"/>
      <w:tblBorders/>
      <w:tblCellMar/>
    </w:tblPr>
    <w:trPr/>
    <w:tcPr>
      <w:tcBorders/>
      <w:shd w:val="clear" w:color="auto" w:fill="auto"/>
      <w:tcMar/>
      <w:vAlign w:val="top"/>
    </w:tcPr>
  </w:style>
  <w:style w:type="table" w:styleId="TableNoRule5_7bb3f057-5d1d-4846-b858-624e34c55bc7" w:customStyle="1">
    <w:name w:val="Table NoRule 5_7bb3f057-5d1d-4846-b858-624e34c55bc7"/>
    <w:basedOn w:val="TableNoRule4_0beb81e7-3795-4967-996c-bc9b2be47142"/>
    <w:uiPriority w:val="99"/>
    <w:pPr>
      <w:pBdr/>
      <w:spacing/>
    </w:pPr>
    <w:rPr/>
    <w:tblPr>
      <w:tblInd w:w="1915" w:type="dxa"/>
      <w:tblBorders/>
      <w:tblCellMar/>
    </w:tblPr>
    <w:trPr/>
    <w:tcPr>
      <w:tcBorders/>
      <w:shd w:val="clear" w:color="auto" w:fill="auto"/>
      <w:tcMar/>
      <w:vAlign w:val="top"/>
    </w:tcPr>
  </w:style>
  <w:style w:type="table" w:styleId="TableNoRule6_4f459e66-4dfa-4d22-b7fa-7141ac6d7b29" w:customStyle="1">
    <w:name w:val="Table NoRule 6_4f459e66-4dfa-4d22-b7fa-7141ac6d7b29"/>
    <w:basedOn w:val="TableNoRule5_7bb3f057-5d1d-4846-b858-624e34c55bc7"/>
    <w:uiPriority w:val="99"/>
    <w:pPr>
      <w:pBdr/>
      <w:spacing/>
    </w:pPr>
    <w:rPr/>
    <w:tblPr>
      <w:tblInd w:w="2390" w:type="dxa"/>
      <w:tblBorders/>
      <w:tblCellMar/>
    </w:tblPr>
    <w:trPr/>
    <w:tcPr>
      <w:tcBorders/>
      <w:shd w:val="clear" w:color="auto" w:fill="auto"/>
      <w:tcMar/>
      <w:vAlign w:val="top"/>
    </w:tcPr>
  </w:style>
  <w:style w:type="table" w:styleId="TableNoRule7_e39e045f-2995-4843-bab1-01137d4e0ec2" w:customStyle="1">
    <w:name w:val="Table NoRule 7_e39e045f-2995-4843-bab1-01137d4e0ec2"/>
    <w:basedOn w:val="TableNoRule6_4f459e66-4dfa-4d22-b7fa-7141ac6d7b29"/>
    <w:uiPriority w:val="99"/>
    <w:pPr>
      <w:pBdr/>
      <w:spacing/>
    </w:pPr>
    <w:rPr/>
    <w:tblPr>
      <w:tblInd w:w="2880" w:type="dxa"/>
      <w:tblBorders/>
      <w:tblCellMar/>
    </w:tblPr>
    <w:trPr/>
    <w:tcPr>
      <w:tcBorders/>
      <w:shd w:val="clear" w:color="auto" w:fill="auto"/>
      <w:tcMar/>
      <w:vAlign w:val="top"/>
    </w:tcPr>
  </w:style>
  <w:style w:type="table" w:styleId="TableNoRule8_c746c2b0-abfa-4b3b-9f4a-fe54f9d36f94" w:customStyle="1">
    <w:name w:val="Table NoRule 8_c746c2b0-abfa-4b3b-9f4a-fe54f9d36f94"/>
    <w:basedOn w:val="TableNoRule7_e39e045f-2995-4843-bab1-01137d4e0ec2"/>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c746c2b0-abfa-4b3b-9f4a-fe54f9d36f94"/>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customXml" Target="../customXml/item1.xml"/><Relationship Id="rId2" Type="http://schemas.openxmlformats.org/officeDocument/2006/relationships/footer" Target="footer2.xml"/><Relationship Id="rId6" Type="http://schemas.openxmlformats.org/officeDocument/2006/relationships/numbering" Target="numbering.xml"/><Relationship Id="rId1" Type="http://schemas.openxmlformats.org/officeDocument/2006/relationships/header" Target="header1.xml"/><Relationship Id="rId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BB9CE79C77C5418CB0EE4130A61536" ma:contentTypeVersion="18" ma:contentTypeDescription="Create a new document." ma:contentTypeScope="" ma:versionID="ad560fa577f04ce4d2efcce300e0d800">
  <xsd:schema xmlns:xsd="http://www.w3.org/2001/XMLSchema" xmlns:xs="http://www.w3.org/2001/XMLSchema" xmlns:p="http://schemas.microsoft.com/office/2006/metadata/properties" xmlns:ns2="8b29e8de-ae70-46cf-8021-b61553d83343" xmlns:ns3="8ccd422b-0679-414e-b98a-319e9960e8f7" xmlns:ns4="c16198f8-7a9c-48c3-97fc-28c5febb3c86" xmlns:ns5="9fe18a8c-986f-4de7-8418-a817153bc8e6" targetNamespace="http://schemas.microsoft.com/office/2006/metadata/properties" ma:root="true" ma:fieldsID="ecb47076ab4e8b10fdca0f80d64803fd" ns2:_="" ns3:_="" ns4:_="" ns5:_="">
    <xsd:import namespace="8b29e8de-ae70-46cf-8021-b61553d83343"/>
    <xsd:import namespace="8ccd422b-0679-414e-b98a-319e9960e8f7"/>
    <xsd:import namespace="c16198f8-7a9c-48c3-97fc-28c5febb3c86"/>
    <xsd:import namespace="9fe18a8c-986f-4de7-8418-a817153bc8e6"/>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9e8de-ae70-46cf-8021-b61553d833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cd422b-0679-414e-b98a-319e9960e8f7"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198f8-7a9c-48c3-97fc-28c5febb3c8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7b08e6-996e-4355-b631-085a209ef94a}" ma:internalName="TaxCatchAll" ma:showField="CatchAllData" ma:web="9fe18a8c-986f-4de7-8418-a817153bc8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b29e8de-ae70-46cf-8021-b61553d83343">
      <UserInfo>
        <DisplayName/>
        <AccountId xsi:nil="true"/>
        <AccountType/>
      </UserInfo>
    </SharedWithUsers>
    <SharingHintHash xmlns="8b29e8de-ae70-46cf-8021-b61553d83343" xsi:nil="true"/>
    <TaxCatchAll xmlns="9fe18a8c-986f-4de7-8418-a817153bc8e6" xsi:nil="true"/>
    <lcf76f155ced4ddcb4097134ff3c332f xmlns="c16198f8-7a9c-48c3-97fc-28c5febb3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E1D21E-3741-4A43-8F07-9573DE38D7A9}"/>
</file>

<file path=customXml/itemProps2.xml><?xml version="1.0" encoding="utf-8"?>
<ds:datastoreItem xmlns:ds="http://schemas.openxmlformats.org/officeDocument/2006/customXml" ds:itemID="{803949F0-4BC2-425B-8FC0-A8297ACEAD15}"/>
</file>

<file path=customXml/itemProps3.xml><?xml version="1.0" encoding="utf-8"?>
<ds:datastoreItem xmlns:ds="http://schemas.openxmlformats.org/officeDocument/2006/customXml" ds:itemID="{C4F965D9-0F66-47CB-8127-A014F200B05F}"/>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2026-06-16T22:42:11Z</dcterms:created>
  <dcterms:modified xsi:type="dcterms:W3CDTF">2026-06-16T22:42:11Z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0x0101004ABB9CE79C77C5418CB0EE4130A61536</vt:lpwstr>
  </property>
</Properties>
</file>